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3EF428" w14:textId="20236248" w:rsidR="00546203" w:rsidRPr="00BE1839" w:rsidRDefault="0085081F" w:rsidP="002D4EF2">
      <w:pPr>
        <w:pStyle w:val="Heading1"/>
        <w:spacing w:before="100" w:beforeAutospacing="1"/>
        <w:rPr>
          <w:color w:val="2F5496" w:themeColor="accent1" w:themeShade="BF"/>
        </w:rPr>
      </w:pPr>
      <w:r>
        <w:rPr>
          <w:color w:val="2F5496" w:themeColor="accent1" w:themeShade="BF"/>
        </w:rPr>
        <w:t>Returns</w:t>
      </w:r>
    </w:p>
    <w:p w14:paraId="4446DCA2" w14:textId="5B9C33CE" w:rsidR="001F5D88" w:rsidRDefault="00187AF2" w:rsidP="001F5D88">
      <w:pPr>
        <w:spacing w:after="0"/>
        <w:jc w:val="both"/>
      </w:pPr>
      <w:r>
        <w:t xml:space="preserve">The FTSE JSE All Share (ALSI) has dipped into negative territory on the year after two brutal trading days for global equities. </w:t>
      </w:r>
      <w:r w:rsidR="00BE73B6">
        <w:t>Chart 1: ALSI YTD % Change</w:t>
      </w:r>
      <w:r w:rsidR="00BE1839">
        <w:t xml:space="preserve"> </w:t>
      </w:r>
      <w:r w:rsidR="00FE02B4">
        <w:t xml:space="preserve">Chart 2: ALSI Sectors % of Stocks Above 50 </w:t>
      </w:r>
      <w:r w:rsidR="00BE1839">
        <w:t>–</w:t>
      </w:r>
      <w:r w:rsidR="00FE02B4">
        <w:t xml:space="preserve"> DMAs</w:t>
      </w:r>
      <w:r w:rsidR="00BE1839">
        <w:t xml:space="preserve"> </w:t>
      </w:r>
      <w:r w:rsidR="00FE02B4">
        <w:t xml:space="preserve">Chart 3 – 6, ALSI Price; ALSI 10 – Day A/D Line; % of ALSI Stocks Above 50 </w:t>
      </w:r>
      <w:r w:rsidR="006C42E7">
        <w:t>–</w:t>
      </w:r>
      <w:r w:rsidR="00FE02B4">
        <w:t xml:space="preserve"> DMAs</w:t>
      </w:r>
      <w:r w:rsidR="006C42E7">
        <w:t>; ALSI Trailing 12 – Mth P/E (x)</w:t>
      </w:r>
      <w:r w:rsidR="00536BA1">
        <w:t>.</w:t>
      </w:r>
      <w:r w:rsidR="001F5D88">
        <w:t xml:space="preserve"> </w:t>
      </w:r>
    </w:p>
    <w:p w14:paraId="157A60BE" w14:textId="77777777" w:rsidR="00F51732" w:rsidRDefault="00F51732" w:rsidP="001F5D88">
      <w:pPr>
        <w:spacing w:after="0"/>
        <w:jc w:val="both"/>
      </w:pP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026"/>
      </w:tblGrid>
      <w:tr w:rsidR="009C41F2" w14:paraId="0057C370" w14:textId="77777777" w:rsidTr="00F51732">
        <w:tc>
          <w:tcPr>
            <w:tcW w:w="9026" w:type="dxa"/>
          </w:tcPr>
          <w:p w14:paraId="1D9BE2C8" w14:textId="71B6E7D5" w:rsidR="009C41F2" w:rsidRPr="009C41F2" w:rsidRDefault="009C41F2" w:rsidP="00187AF2">
            <w:pPr>
              <w:jc w:val="both"/>
              <w:rPr>
                <w:rFonts w:asciiTheme="majorHAnsi" w:hAnsiTheme="majorHAnsi" w:cstheme="majorHAnsi"/>
                <w:b/>
              </w:rPr>
            </w:pPr>
            <w:r w:rsidRPr="009C41F2">
              <w:rPr>
                <w:rFonts w:asciiTheme="majorHAnsi" w:hAnsiTheme="majorHAnsi" w:cstheme="majorHAnsi"/>
                <w:b/>
              </w:rPr>
              <w:t xml:space="preserve">Figure 1: FTSE JSE </w:t>
            </w:r>
            <w:r w:rsidR="00A75156">
              <w:rPr>
                <w:rFonts w:asciiTheme="majorHAnsi" w:hAnsiTheme="majorHAnsi" w:cstheme="majorHAnsi"/>
                <w:b/>
              </w:rPr>
              <w:t>ALSI</w:t>
            </w:r>
            <w:r w:rsidRPr="009C41F2">
              <w:rPr>
                <w:rFonts w:asciiTheme="majorHAnsi" w:hAnsiTheme="majorHAnsi" w:cstheme="majorHAnsi"/>
                <w:b/>
              </w:rPr>
              <w:t xml:space="preserve"> (</w:t>
            </w:r>
            <w:r w:rsidR="00A75156">
              <w:rPr>
                <w:rFonts w:asciiTheme="majorHAnsi" w:hAnsiTheme="majorHAnsi" w:cstheme="majorHAnsi"/>
                <w:b/>
              </w:rPr>
              <w:t>Pts</w:t>
            </w:r>
            <w:r w:rsidRPr="009C41F2">
              <w:rPr>
                <w:rFonts w:asciiTheme="majorHAnsi" w:hAnsiTheme="majorHAnsi" w:cstheme="majorHAnsi"/>
                <w:b/>
              </w:rPr>
              <w:t>)</w:t>
            </w:r>
          </w:p>
        </w:tc>
      </w:tr>
      <w:tr w:rsidR="009C41F2" w14:paraId="637D5381" w14:textId="77777777" w:rsidTr="00F51732">
        <w:tc>
          <w:tcPr>
            <w:tcW w:w="9026" w:type="dxa"/>
          </w:tcPr>
          <w:p w14:paraId="41F15CAE" w14:textId="6F9EE726" w:rsidR="009C41F2" w:rsidRDefault="00FE6BDF" w:rsidP="00187AF2">
            <w:pPr>
              <w:jc w:val="both"/>
            </w:pPr>
            <w:r w:rsidRPr="00FE6BDF">
              <w:rPr>
                <w:noProof/>
              </w:rPr>
              <w:drawing>
                <wp:inline distT="0" distB="0" distL="0" distR="0" wp14:anchorId="6D01A89D" wp14:editId="628384BC">
                  <wp:extent cx="5600700" cy="2666755"/>
                  <wp:effectExtent l="0" t="0" r="0" b="63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09104" cy="2670757"/>
                          </a:xfrm>
                          <a:prstGeom prst="rect">
                            <a:avLst/>
                          </a:prstGeom>
                          <a:noFill/>
                          <a:ln>
                            <a:noFill/>
                          </a:ln>
                        </pic:spPr>
                      </pic:pic>
                    </a:graphicData>
                  </a:graphic>
                </wp:inline>
              </w:drawing>
            </w:r>
          </w:p>
        </w:tc>
      </w:tr>
      <w:tr w:rsidR="009C41F2" w14:paraId="517E5C57" w14:textId="77777777" w:rsidTr="00F51732">
        <w:tc>
          <w:tcPr>
            <w:tcW w:w="9026" w:type="dxa"/>
          </w:tcPr>
          <w:p w14:paraId="59F97159" w14:textId="5FB952F4" w:rsidR="009C41F2" w:rsidRPr="009C41F2" w:rsidRDefault="009C41F2" w:rsidP="00187AF2">
            <w:pPr>
              <w:jc w:val="both"/>
              <w:rPr>
                <w:sz w:val="16"/>
                <w:szCs w:val="16"/>
              </w:rPr>
            </w:pPr>
            <w:r>
              <w:rPr>
                <w:sz w:val="16"/>
                <w:szCs w:val="16"/>
              </w:rPr>
              <w:t>Source: Merit Stocks, Factset</w:t>
            </w:r>
          </w:p>
        </w:tc>
      </w:tr>
    </w:tbl>
    <w:p w14:paraId="1BBC6DD0" w14:textId="3E16936B" w:rsidR="009C41F2" w:rsidRDefault="009C41F2" w:rsidP="00187AF2">
      <w:pPr>
        <w:spacing w:after="0"/>
        <w:jc w:val="both"/>
      </w:pPr>
    </w:p>
    <w:p w14:paraId="03223808" w14:textId="28B821CD" w:rsidR="00FE6BDF" w:rsidRDefault="00FF506B" w:rsidP="00187AF2">
      <w:pPr>
        <w:spacing w:after="0"/>
        <w:jc w:val="both"/>
      </w:pPr>
      <w:r>
        <w:t>The FTSE JSE All Share (ALSI) has dipped into negative territory on the year after two brutal trading days for global equities. Chart 1: ALSI YTD % Change Chart 2: ALSI Sectors % of Stocks Above 50 – DMAs Chart 3 – 6, ALSI Price; ALSI 10 – Day A/D Line; % of ALSI Stocks Above 50 – DMAs; ALSI Trailing 12 – Mth P/E (x).</w:t>
      </w:r>
    </w:p>
    <w:p w14:paraId="4386E2D0" w14:textId="77777777" w:rsidR="00FF506B" w:rsidRDefault="00FF506B" w:rsidP="00187AF2">
      <w:pPr>
        <w:spacing w:after="0"/>
        <w:jc w:val="both"/>
      </w:pP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026"/>
      </w:tblGrid>
      <w:tr w:rsidR="00F51732" w14:paraId="1AB62C28" w14:textId="77777777" w:rsidTr="00B03E72">
        <w:tc>
          <w:tcPr>
            <w:tcW w:w="9026" w:type="dxa"/>
          </w:tcPr>
          <w:p w14:paraId="79A3C47F" w14:textId="74E66FC5" w:rsidR="00F51732" w:rsidRPr="009C41F2" w:rsidRDefault="00F51732" w:rsidP="00B03E72">
            <w:pPr>
              <w:jc w:val="both"/>
              <w:rPr>
                <w:rFonts w:asciiTheme="majorHAnsi" w:hAnsiTheme="majorHAnsi" w:cstheme="majorHAnsi"/>
                <w:b/>
              </w:rPr>
            </w:pPr>
            <w:r w:rsidRPr="009C41F2">
              <w:rPr>
                <w:rFonts w:asciiTheme="majorHAnsi" w:hAnsiTheme="majorHAnsi" w:cstheme="majorHAnsi"/>
                <w:b/>
              </w:rPr>
              <w:t xml:space="preserve">Figure </w:t>
            </w:r>
            <w:r w:rsidR="00DF446E">
              <w:rPr>
                <w:rFonts w:asciiTheme="majorHAnsi" w:hAnsiTheme="majorHAnsi" w:cstheme="majorHAnsi"/>
                <w:b/>
              </w:rPr>
              <w:t>2</w:t>
            </w:r>
            <w:r w:rsidRPr="009C41F2">
              <w:rPr>
                <w:rFonts w:asciiTheme="majorHAnsi" w:hAnsiTheme="majorHAnsi" w:cstheme="majorHAnsi"/>
                <w:b/>
              </w:rPr>
              <w:t xml:space="preserve">: </w:t>
            </w:r>
            <w:r w:rsidR="008F46E6" w:rsidRPr="009C41F2">
              <w:rPr>
                <w:rFonts w:asciiTheme="majorHAnsi" w:hAnsiTheme="majorHAnsi" w:cstheme="majorHAnsi"/>
                <w:b/>
              </w:rPr>
              <w:t>FTSE JSE Sector Performance – Year to Date (YTD) Total Return (%)</w:t>
            </w:r>
          </w:p>
        </w:tc>
      </w:tr>
      <w:tr w:rsidR="00F51732" w14:paraId="05F8AFAC" w14:textId="77777777" w:rsidTr="00B03E72">
        <w:tc>
          <w:tcPr>
            <w:tcW w:w="9026" w:type="dxa"/>
          </w:tcPr>
          <w:p w14:paraId="59C8C349" w14:textId="7E605A44" w:rsidR="00F51732" w:rsidRDefault="00C701C3" w:rsidP="00B03E72">
            <w:pPr>
              <w:jc w:val="both"/>
            </w:pPr>
            <w:r w:rsidRPr="009C41F2">
              <w:rPr>
                <w:noProof/>
              </w:rPr>
              <w:drawing>
                <wp:inline distT="0" distB="0" distL="0" distR="0" wp14:anchorId="5173DC9C" wp14:editId="64E33AE4">
                  <wp:extent cx="5600700" cy="313372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00700" cy="3133725"/>
                          </a:xfrm>
                          <a:prstGeom prst="rect">
                            <a:avLst/>
                          </a:prstGeom>
                          <a:noFill/>
                          <a:ln>
                            <a:noFill/>
                          </a:ln>
                        </pic:spPr>
                      </pic:pic>
                    </a:graphicData>
                  </a:graphic>
                </wp:inline>
              </w:drawing>
            </w:r>
          </w:p>
        </w:tc>
      </w:tr>
      <w:tr w:rsidR="00F51732" w14:paraId="0B592B3A" w14:textId="77777777" w:rsidTr="00B03E72">
        <w:tc>
          <w:tcPr>
            <w:tcW w:w="9026" w:type="dxa"/>
          </w:tcPr>
          <w:p w14:paraId="30781F65" w14:textId="77777777" w:rsidR="00F51732" w:rsidRPr="009C41F2" w:rsidRDefault="00F51732" w:rsidP="00B03E72">
            <w:pPr>
              <w:jc w:val="both"/>
              <w:rPr>
                <w:sz w:val="16"/>
                <w:szCs w:val="16"/>
              </w:rPr>
            </w:pPr>
            <w:r>
              <w:rPr>
                <w:sz w:val="16"/>
                <w:szCs w:val="16"/>
              </w:rPr>
              <w:t>Source: Merit Stocks, Factset</w:t>
            </w:r>
          </w:p>
        </w:tc>
      </w:tr>
    </w:tbl>
    <w:p w14:paraId="1431C399" w14:textId="77777777" w:rsidR="00FF506B" w:rsidRDefault="00FF506B" w:rsidP="00FF506B">
      <w:pPr>
        <w:spacing w:after="0"/>
        <w:jc w:val="both"/>
      </w:pPr>
      <w:r>
        <w:lastRenderedPageBreak/>
        <w:t xml:space="preserve">The FTSE JSE All Share (ALSI) has dipped into negative territory on the year after two brutal trading days for global equities. Chart 1: ALSI YTD % Change Chart 2: ALSI Sectors % of Stocks Above 50 – DMAs Chart 3 – 6, ALSI Price; ALSI 10 – Day A/D Line; % of ALSI Stocks Above 50 – DMAs; ALSI Trailing 12 – Mth P/E (x). </w:t>
      </w:r>
    </w:p>
    <w:p w14:paraId="54296F11" w14:textId="77777777" w:rsidR="00FF506B" w:rsidRDefault="00FF506B" w:rsidP="00FF506B">
      <w:pPr>
        <w:spacing w:after="0"/>
        <w:jc w:val="both"/>
      </w:pP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026"/>
      </w:tblGrid>
      <w:tr w:rsidR="00FF506B" w14:paraId="353640C6" w14:textId="77777777" w:rsidTr="00B03E72">
        <w:tc>
          <w:tcPr>
            <w:tcW w:w="9026" w:type="dxa"/>
          </w:tcPr>
          <w:p w14:paraId="5496B8A4" w14:textId="779C51A9" w:rsidR="00FF506B" w:rsidRPr="009C41F2" w:rsidRDefault="00FF506B" w:rsidP="00B03E72">
            <w:pPr>
              <w:jc w:val="both"/>
              <w:rPr>
                <w:rFonts w:asciiTheme="majorHAnsi" w:hAnsiTheme="majorHAnsi" w:cstheme="majorHAnsi"/>
                <w:b/>
              </w:rPr>
            </w:pPr>
            <w:r w:rsidRPr="009C41F2">
              <w:rPr>
                <w:rFonts w:asciiTheme="majorHAnsi" w:hAnsiTheme="majorHAnsi" w:cstheme="majorHAnsi"/>
                <w:b/>
              </w:rPr>
              <w:t xml:space="preserve">Figure </w:t>
            </w:r>
            <w:r w:rsidR="00911593">
              <w:rPr>
                <w:rFonts w:asciiTheme="majorHAnsi" w:hAnsiTheme="majorHAnsi" w:cstheme="majorHAnsi"/>
                <w:b/>
              </w:rPr>
              <w:t>3</w:t>
            </w:r>
            <w:r w:rsidRPr="009C41F2">
              <w:rPr>
                <w:rFonts w:asciiTheme="majorHAnsi" w:hAnsiTheme="majorHAnsi" w:cstheme="majorHAnsi"/>
                <w:b/>
              </w:rPr>
              <w:t xml:space="preserve">: FTSE JSE </w:t>
            </w:r>
            <w:r w:rsidR="00A22EF7">
              <w:rPr>
                <w:rFonts w:asciiTheme="majorHAnsi" w:hAnsiTheme="majorHAnsi" w:cstheme="majorHAnsi"/>
                <w:b/>
              </w:rPr>
              <w:t xml:space="preserve">ALSI – Momentum and Relative Strength Indicator (RSI) </w:t>
            </w:r>
          </w:p>
        </w:tc>
      </w:tr>
      <w:tr w:rsidR="00FF506B" w14:paraId="5B7867AA" w14:textId="77777777" w:rsidTr="00B03E72">
        <w:tc>
          <w:tcPr>
            <w:tcW w:w="9026" w:type="dxa"/>
          </w:tcPr>
          <w:p w14:paraId="7D5FB38F" w14:textId="03F5D7DA" w:rsidR="00FF506B" w:rsidRDefault="00FF506B" w:rsidP="00B03E72">
            <w:pPr>
              <w:jc w:val="both"/>
            </w:pPr>
            <w:r w:rsidRPr="00FF506B">
              <w:rPr>
                <w:noProof/>
              </w:rPr>
              <w:drawing>
                <wp:inline distT="0" distB="0" distL="0" distR="0" wp14:anchorId="4B9A30DC" wp14:editId="4ED8B9FC">
                  <wp:extent cx="5665663" cy="26670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65856" cy="2667091"/>
                          </a:xfrm>
                          <a:prstGeom prst="rect">
                            <a:avLst/>
                          </a:prstGeom>
                          <a:noFill/>
                          <a:ln>
                            <a:noFill/>
                          </a:ln>
                        </pic:spPr>
                      </pic:pic>
                    </a:graphicData>
                  </a:graphic>
                </wp:inline>
              </w:drawing>
            </w:r>
          </w:p>
        </w:tc>
      </w:tr>
      <w:tr w:rsidR="00FF506B" w14:paraId="377FBF0C" w14:textId="77777777" w:rsidTr="00B03E72">
        <w:tc>
          <w:tcPr>
            <w:tcW w:w="9026" w:type="dxa"/>
          </w:tcPr>
          <w:p w14:paraId="352DC232" w14:textId="77777777" w:rsidR="00FF506B" w:rsidRPr="009C41F2" w:rsidRDefault="00FF506B" w:rsidP="00B03E72">
            <w:pPr>
              <w:jc w:val="both"/>
              <w:rPr>
                <w:sz w:val="16"/>
                <w:szCs w:val="16"/>
              </w:rPr>
            </w:pPr>
            <w:r>
              <w:rPr>
                <w:sz w:val="16"/>
                <w:szCs w:val="16"/>
              </w:rPr>
              <w:t>Source: Merit Stocks, Factset</w:t>
            </w:r>
          </w:p>
        </w:tc>
      </w:tr>
    </w:tbl>
    <w:p w14:paraId="3AD102C1" w14:textId="77777777" w:rsidR="00FF506B" w:rsidRDefault="00FF506B" w:rsidP="00FF506B">
      <w:pPr>
        <w:spacing w:after="0"/>
        <w:jc w:val="both"/>
      </w:pPr>
    </w:p>
    <w:p w14:paraId="7F638651" w14:textId="77777777" w:rsidR="00FF506B" w:rsidRDefault="00FF506B" w:rsidP="00FF506B">
      <w:pPr>
        <w:spacing w:after="0"/>
        <w:jc w:val="both"/>
      </w:pPr>
      <w:r>
        <w:t>The FTSE JSE All Share (ALSI) has dipped into negative territory on the year after two brutal trading days for global equities. Chart 1: ALSI YTD % Change Chart 2: ALSI Sectors % of Stocks Above 50 – DMAs Chart 3 – 6, ALSI Price; ALSI 10 – Day A/D Line; % of ALSI Stocks Above 50 – DMAs; ALSI Trailing 12 – Mth P/E (x).</w:t>
      </w:r>
    </w:p>
    <w:p w14:paraId="2824DA52" w14:textId="77777777" w:rsidR="00FF506B" w:rsidRDefault="00FF506B" w:rsidP="00FF506B">
      <w:pPr>
        <w:spacing w:after="0"/>
        <w:jc w:val="both"/>
      </w:pP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026"/>
      </w:tblGrid>
      <w:tr w:rsidR="00FF506B" w14:paraId="0D8ADC7A" w14:textId="77777777" w:rsidTr="00B03E72">
        <w:tc>
          <w:tcPr>
            <w:tcW w:w="9026" w:type="dxa"/>
          </w:tcPr>
          <w:p w14:paraId="28D8503C" w14:textId="64EE0D2A" w:rsidR="00FF506B" w:rsidRPr="009C41F2" w:rsidRDefault="00FF506B" w:rsidP="00B03E72">
            <w:pPr>
              <w:jc w:val="both"/>
              <w:rPr>
                <w:rFonts w:asciiTheme="majorHAnsi" w:hAnsiTheme="majorHAnsi" w:cstheme="majorHAnsi"/>
                <w:b/>
              </w:rPr>
            </w:pPr>
            <w:r w:rsidRPr="009C41F2">
              <w:rPr>
                <w:rFonts w:asciiTheme="majorHAnsi" w:hAnsiTheme="majorHAnsi" w:cstheme="majorHAnsi"/>
                <w:b/>
              </w:rPr>
              <w:t xml:space="preserve">Figure </w:t>
            </w:r>
            <w:r w:rsidR="00911593">
              <w:rPr>
                <w:rFonts w:asciiTheme="majorHAnsi" w:hAnsiTheme="majorHAnsi" w:cstheme="majorHAnsi"/>
                <w:b/>
              </w:rPr>
              <w:t>4</w:t>
            </w:r>
            <w:r w:rsidRPr="009C41F2">
              <w:rPr>
                <w:rFonts w:asciiTheme="majorHAnsi" w:hAnsiTheme="majorHAnsi" w:cstheme="majorHAnsi"/>
                <w:b/>
              </w:rPr>
              <w:t xml:space="preserve">: FTSE JSE </w:t>
            </w:r>
            <w:r>
              <w:rPr>
                <w:rFonts w:asciiTheme="majorHAnsi" w:hAnsiTheme="majorHAnsi" w:cstheme="majorHAnsi"/>
                <w:b/>
              </w:rPr>
              <w:t>Percentage of Stocks Above 50 Day SMA (%)</w:t>
            </w:r>
          </w:p>
        </w:tc>
      </w:tr>
      <w:tr w:rsidR="00FF506B" w14:paraId="57892125" w14:textId="77777777" w:rsidTr="00B03E72">
        <w:tc>
          <w:tcPr>
            <w:tcW w:w="9026" w:type="dxa"/>
          </w:tcPr>
          <w:p w14:paraId="2338DD29" w14:textId="0E9E2D9A" w:rsidR="00FF506B" w:rsidRDefault="00FF506B" w:rsidP="00B03E72">
            <w:pPr>
              <w:jc w:val="both"/>
            </w:pPr>
            <w:r w:rsidRPr="00FF506B">
              <w:rPr>
                <w:noProof/>
              </w:rPr>
              <w:drawing>
                <wp:inline distT="0" distB="0" distL="0" distR="0" wp14:anchorId="3B02B8BE" wp14:editId="4AC1F9EF">
                  <wp:extent cx="5724525" cy="299085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24525" cy="2990850"/>
                          </a:xfrm>
                          <a:prstGeom prst="rect">
                            <a:avLst/>
                          </a:prstGeom>
                          <a:noFill/>
                          <a:ln>
                            <a:noFill/>
                          </a:ln>
                        </pic:spPr>
                      </pic:pic>
                    </a:graphicData>
                  </a:graphic>
                </wp:inline>
              </w:drawing>
            </w:r>
          </w:p>
        </w:tc>
      </w:tr>
      <w:tr w:rsidR="00FF506B" w14:paraId="4430A5CB" w14:textId="77777777" w:rsidTr="00B03E72">
        <w:tc>
          <w:tcPr>
            <w:tcW w:w="9026" w:type="dxa"/>
          </w:tcPr>
          <w:p w14:paraId="42C96B92" w14:textId="77777777" w:rsidR="00FF506B" w:rsidRPr="009C41F2" w:rsidRDefault="00FF506B" w:rsidP="00B03E72">
            <w:pPr>
              <w:jc w:val="both"/>
              <w:rPr>
                <w:sz w:val="16"/>
                <w:szCs w:val="16"/>
              </w:rPr>
            </w:pPr>
            <w:r>
              <w:rPr>
                <w:sz w:val="16"/>
                <w:szCs w:val="16"/>
              </w:rPr>
              <w:t>Source: Merit Stocks, Factset</w:t>
            </w:r>
          </w:p>
        </w:tc>
      </w:tr>
    </w:tbl>
    <w:p w14:paraId="6FA7A1AA" w14:textId="77777777" w:rsidR="009F1E47" w:rsidRDefault="009F1E47" w:rsidP="00546203">
      <w:pPr>
        <w:spacing w:after="0"/>
      </w:pPr>
    </w:p>
    <w:p w14:paraId="7F340340" w14:textId="77777777" w:rsidR="00FF506B" w:rsidRDefault="00FF506B" w:rsidP="00546203">
      <w:pPr>
        <w:spacing w:after="0"/>
      </w:pPr>
    </w:p>
    <w:p w14:paraId="5BC13598" w14:textId="77777777" w:rsidR="001F5687" w:rsidRDefault="001F5687" w:rsidP="001F5687">
      <w:pPr>
        <w:pStyle w:val="Heading2"/>
      </w:pPr>
      <w:r>
        <w:lastRenderedPageBreak/>
        <w:t xml:space="preserve">Focus on Basic Materials </w:t>
      </w:r>
    </w:p>
    <w:p w14:paraId="77D1C21D" w14:textId="77777777" w:rsidR="001F5687" w:rsidRDefault="001F5687" w:rsidP="001F5687">
      <w:pPr>
        <w:spacing w:after="0"/>
        <w:jc w:val="both"/>
      </w:pPr>
      <w:r>
        <w:t xml:space="preserve">The FTSE JSE All Share (ALSI) has dipped into negative territory on the year after two brutal trading days for global equities. Chart 1: ALSI YTD % Change Chart 2: ALSI Sectors % of Stocks Above 50 – DMAs Chart 3 – 6, ALSI Price; ALSI 10 – Day A/D Line; % of ALSI Stocks Above 50 – DMAs; ALSI Trailing 12 – Mth P/E (x). The FTSE JSE All Share (ALSI) has dipped into negative territory on the year after two brutal trading days for global equities. Chart 1: ALSI YTD % Change Chart 2: ALSI Sectors % of Stocks Above 50 – DMAs Chart 3 – 6, ALSI Price; ALSI 10 – Day A/D Line; % of ALSI Stocks Above 50 – DMAs; ALSI Trailing 12 – Mth P/E (x). </w:t>
      </w:r>
    </w:p>
    <w:p w14:paraId="1398C271" w14:textId="77777777" w:rsidR="001F5687" w:rsidRDefault="001F5687" w:rsidP="001F5687">
      <w:pPr>
        <w:spacing w:after="0"/>
        <w:jc w:val="both"/>
      </w:pPr>
    </w:p>
    <w:p w14:paraId="7C1DD8F4" w14:textId="6330FF72" w:rsidR="001F5687" w:rsidRDefault="001F5687" w:rsidP="001F5687">
      <w:pPr>
        <w:spacing w:after="0"/>
        <w:jc w:val="both"/>
      </w:pPr>
      <w:r>
        <w:t>Mth P/E (x). The FTSE JSE All Share (ALSI) has dipped into negative territory on the year after two brutal trading days for global equities. Chart 1: ALSI YTD % Change Chart 2: ALSI Sectors % of Stocks Above 50 – DMAs Chart 3 – 6, ALSI Price; ALSI 10 – Day A/D Line; % of ALSI Stocks Above 50 – DMAs; ALSI Trailing 12 – Mth P/E (x).</w:t>
      </w:r>
    </w:p>
    <w:p w14:paraId="69C4B35F" w14:textId="77777777" w:rsidR="001F5687" w:rsidRDefault="001F5687" w:rsidP="001F5687">
      <w:pPr>
        <w:spacing w:after="0"/>
        <w:jc w:val="both"/>
      </w:pP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026"/>
      </w:tblGrid>
      <w:tr w:rsidR="001F5687" w14:paraId="0FCCE866" w14:textId="77777777" w:rsidTr="00B03E72">
        <w:tc>
          <w:tcPr>
            <w:tcW w:w="9026" w:type="dxa"/>
          </w:tcPr>
          <w:p w14:paraId="4281FCD2" w14:textId="610FA283" w:rsidR="001F5687" w:rsidRPr="009C41F2" w:rsidRDefault="001F5687" w:rsidP="00B03E72">
            <w:pPr>
              <w:jc w:val="both"/>
              <w:rPr>
                <w:rFonts w:asciiTheme="majorHAnsi" w:hAnsiTheme="majorHAnsi" w:cstheme="majorHAnsi"/>
                <w:b/>
              </w:rPr>
            </w:pPr>
            <w:r w:rsidRPr="009C41F2">
              <w:rPr>
                <w:rFonts w:asciiTheme="majorHAnsi" w:hAnsiTheme="majorHAnsi" w:cstheme="majorHAnsi"/>
                <w:b/>
              </w:rPr>
              <w:t xml:space="preserve">Figure </w:t>
            </w:r>
            <w:r>
              <w:rPr>
                <w:rFonts w:asciiTheme="majorHAnsi" w:hAnsiTheme="majorHAnsi" w:cstheme="majorHAnsi"/>
                <w:b/>
              </w:rPr>
              <w:t>5</w:t>
            </w:r>
            <w:r w:rsidRPr="009C41F2">
              <w:rPr>
                <w:rFonts w:asciiTheme="majorHAnsi" w:hAnsiTheme="majorHAnsi" w:cstheme="majorHAnsi"/>
                <w:b/>
              </w:rPr>
              <w:t xml:space="preserve">: FTSE JSE </w:t>
            </w:r>
            <w:r>
              <w:rPr>
                <w:rFonts w:asciiTheme="majorHAnsi" w:hAnsiTheme="majorHAnsi" w:cstheme="majorHAnsi"/>
                <w:b/>
              </w:rPr>
              <w:t>Basic Materials Versus ALSI – Total Return (%)</w:t>
            </w:r>
          </w:p>
        </w:tc>
      </w:tr>
      <w:tr w:rsidR="001F5687" w14:paraId="60FAFCCE" w14:textId="77777777" w:rsidTr="00B03E72">
        <w:tc>
          <w:tcPr>
            <w:tcW w:w="9026" w:type="dxa"/>
          </w:tcPr>
          <w:p w14:paraId="42FC37F1" w14:textId="18725378" w:rsidR="001F5687" w:rsidRDefault="00456020" w:rsidP="00B03E72">
            <w:pPr>
              <w:jc w:val="both"/>
            </w:pPr>
            <w:r w:rsidRPr="00456020">
              <w:rPr>
                <w:noProof/>
              </w:rPr>
              <w:drawing>
                <wp:inline distT="0" distB="0" distL="0" distR="0" wp14:anchorId="7DF8F1E8" wp14:editId="02FF5526">
                  <wp:extent cx="5731510" cy="2646680"/>
                  <wp:effectExtent l="0" t="0" r="2540" b="127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2646680"/>
                          </a:xfrm>
                          <a:prstGeom prst="rect">
                            <a:avLst/>
                          </a:prstGeom>
                          <a:noFill/>
                          <a:ln>
                            <a:noFill/>
                          </a:ln>
                        </pic:spPr>
                      </pic:pic>
                    </a:graphicData>
                  </a:graphic>
                </wp:inline>
              </w:drawing>
            </w:r>
          </w:p>
        </w:tc>
      </w:tr>
      <w:tr w:rsidR="001F5687" w14:paraId="6CA83030" w14:textId="77777777" w:rsidTr="00B03E72">
        <w:tc>
          <w:tcPr>
            <w:tcW w:w="9026" w:type="dxa"/>
          </w:tcPr>
          <w:p w14:paraId="17C14607" w14:textId="77777777" w:rsidR="001F5687" w:rsidRPr="009C41F2" w:rsidRDefault="001F5687" w:rsidP="00B03E72">
            <w:pPr>
              <w:jc w:val="both"/>
              <w:rPr>
                <w:sz w:val="16"/>
                <w:szCs w:val="16"/>
              </w:rPr>
            </w:pPr>
            <w:r>
              <w:rPr>
                <w:sz w:val="16"/>
                <w:szCs w:val="16"/>
              </w:rPr>
              <w:t>Source: Merit Stocks, Factset</w:t>
            </w:r>
          </w:p>
        </w:tc>
      </w:tr>
    </w:tbl>
    <w:p w14:paraId="0DD17D83" w14:textId="77777777" w:rsidR="00131F34" w:rsidRDefault="00131F34" w:rsidP="00131F34">
      <w:pPr>
        <w:spacing w:after="0"/>
        <w:jc w:val="both"/>
      </w:pPr>
    </w:p>
    <w:p w14:paraId="4648B5AA" w14:textId="6E6E0562" w:rsidR="00131F34" w:rsidRDefault="00131F34" w:rsidP="00131F34">
      <w:pPr>
        <w:spacing w:after="0"/>
        <w:jc w:val="both"/>
      </w:pPr>
      <w:r>
        <w:t xml:space="preserve">The FTSE JSE All Share (ALSI) has dipped into negative territory on the year after two brutal trading days for global equities. Chart 1: ALSI YTD % Change Chart 2: ALSI Sectors % of Stocks Above 50 – DMAs Chart 3 – 6, ALSI Price; ALSI 10 – Day A/D Line; % of ALSI Stocks Above 50 – DMAs; ALSI Trailing 12 – Mth P/E (x). The FTSE JSE All Share (ALSI) has dipped into negative territory on the year after two brutal trading days for global equities. Chart 1: ALSI YTD % Change Chart 2: ALSI Sectors % of Stocks Above 50 – DMAs Chart 3 – 6, ALSI Price; ALSI 10 – Day A/D Line; % of ALSI Stocks Above 50 – DMAs; ALSI Trailing 12 – Mth P/E (x). </w:t>
      </w:r>
    </w:p>
    <w:p w14:paraId="3836839D" w14:textId="77777777" w:rsidR="00131F34" w:rsidRDefault="00131F34" w:rsidP="00131F34">
      <w:pPr>
        <w:spacing w:after="0"/>
        <w:jc w:val="both"/>
      </w:pPr>
    </w:p>
    <w:p w14:paraId="2FA631A4" w14:textId="707FFC89" w:rsidR="002753EB" w:rsidRDefault="00131F34" w:rsidP="002753EB">
      <w:pPr>
        <w:spacing w:after="0"/>
        <w:jc w:val="both"/>
      </w:pPr>
      <w:r>
        <w:t>Mth P/E (x). The FTSE JSE All Share (ALSI) has dipped into negative territory on the year after two brutal trading days for global equities. Chart 1: ALSI YTD % Change Chart 2: ALSI Sectors % of Stocks Above 50 – DMAs Chart 3 – 6, ALSI Price; ALSI 10 – Day A/D Line; % of ALSI Stocks Above 50 – DMAs; ALSI Trailing 12 – Mth P/E (x).</w:t>
      </w:r>
      <w:r w:rsidR="002753EB">
        <w:t xml:space="preserve"> Mth P/E (x). The FTSE JSE All Share (ALSI) has dipped into negative territory on the year after two brutal trading days for global equities. Chart 1: ALSI YTD % Change Chart 2: ALSI Sectors % of Stocks Above 50 – DMAs Chart 3 – 6, ALSI Price; ALSI 10 – Day A/D Line; % of ALSI Stocks Above 50 – DMAs; ALSI Trailing 12 – Mth P/E (x). Chart 1: ALSI YTD % Change Chart 2: ALSI Sectors % of Stocks Above 50 – DMAs Chart 3 – 6, ALSI Price; ALSI 10 – Day A/D Line; % of ALSI.</w:t>
      </w:r>
    </w:p>
    <w:p w14:paraId="63019DC3" w14:textId="34369C66" w:rsidR="002753EB" w:rsidRDefault="002753EB" w:rsidP="002753EB">
      <w:pPr>
        <w:pStyle w:val="Heading1"/>
        <w:rPr>
          <w:color w:val="2F5496" w:themeColor="accent1" w:themeShade="BF"/>
        </w:rPr>
      </w:pPr>
      <w:r>
        <w:rPr>
          <w:color w:val="2F5496" w:themeColor="accent1" w:themeShade="BF"/>
        </w:rPr>
        <w:lastRenderedPageBreak/>
        <w:t>Valuation</w:t>
      </w:r>
    </w:p>
    <w:p w14:paraId="2E016B02" w14:textId="77777777" w:rsidR="002753EB" w:rsidRDefault="002753EB" w:rsidP="002753EB">
      <w:pPr>
        <w:spacing w:after="0"/>
        <w:jc w:val="both"/>
      </w:pPr>
      <w:r>
        <w:t xml:space="preserve">The FTSE JSE All Share (ALSI) has dipped into negative territory on the year after two brutal trading days for global equities. Chart 1: ALSI YTD % Change Chart 2: ALSI Sectors % of Stocks Above 50 – DMAs Chart 3 – 6, ALSI Price; ALSI 10 – Day A/D Line; % of ALSI Stocks Above 50 – DMAs; ALSI Trailing 12 – Mth P/E (x). The FTSE JSE All Share (ALSI) has dipped into negative territory on the year after two brutal trading days for global equities. Chart 1: ALSI YTD % Change Chart 2: ALSI Sectors % of Stocks Above 50 – DMAs Chart 3 – 6, ALSI Price; ALSI 10 – Day A/D Line; % of ALSI Stocks Above 50 – DMAs; ALSI Trailing 12 – Mth P/E (x). </w:t>
      </w:r>
    </w:p>
    <w:p w14:paraId="0772FB01" w14:textId="4BEF8D18" w:rsidR="002753EB" w:rsidRDefault="002753EB" w:rsidP="002753EB">
      <w:pPr>
        <w:spacing w:after="0"/>
        <w:jc w:val="both"/>
      </w:pPr>
    </w:p>
    <w:tbl>
      <w:tblPr>
        <w:tblStyle w:val="TableGrid"/>
        <w:tblW w:w="5000" w:type="pct"/>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026"/>
      </w:tblGrid>
      <w:tr w:rsidR="00EF606B" w14:paraId="742ED94D" w14:textId="77777777" w:rsidTr="00EF606B">
        <w:tc>
          <w:tcPr>
            <w:tcW w:w="5000" w:type="pct"/>
          </w:tcPr>
          <w:p w14:paraId="62088F48" w14:textId="45B3B35F" w:rsidR="00EF606B" w:rsidRPr="00EF606B" w:rsidRDefault="00EF606B" w:rsidP="002753EB">
            <w:pPr>
              <w:jc w:val="both"/>
              <w:rPr>
                <w:rFonts w:asciiTheme="majorHAnsi" w:hAnsiTheme="majorHAnsi" w:cstheme="majorHAnsi"/>
                <w:b/>
              </w:rPr>
            </w:pPr>
            <w:r>
              <w:rPr>
                <w:rFonts w:asciiTheme="majorHAnsi" w:hAnsiTheme="majorHAnsi" w:cstheme="majorHAnsi"/>
                <w:b/>
              </w:rPr>
              <w:t xml:space="preserve">Figure 6: FTSE JSE </w:t>
            </w:r>
            <w:r w:rsidRPr="00EF606B">
              <w:rPr>
                <w:rFonts w:asciiTheme="majorHAnsi" w:hAnsiTheme="majorHAnsi" w:cstheme="majorHAnsi"/>
                <w:b/>
              </w:rPr>
              <w:t>P/E LTM (x) Versus EPS Gr. (%) (+12M)</w:t>
            </w:r>
          </w:p>
        </w:tc>
      </w:tr>
      <w:tr w:rsidR="00EF606B" w14:paraId="4521A5F2" w14:textId="77777777" w:rsidTr="00EF606B">
        <w:tc>
          <w:tcPr>
            <w:tcW w:w="5000" w:type="pct"/>
          </w:tcPr>
          <w:p w14:paraId="44535030" w14:textId="069F93D8" w:rsidR="00EF606B" w:rsidRDefault="00EF606B" w:rsidP="002753EB">
            <w:pPr>
              <w:jc w:val="both"/>
            </w:pPr>
            <w:r w:rsidRPr="00EF606B">
              <w:rPr>
                <w:noProof/>
              </w:rPr>
              <w:drawing>
                <wp:inline distT="0" distB="0" distL="0" distR="0" wp14:anchorId="3FA588E7" wp14:editId="73C044C8">
                  <wp:extent cx="5715000" cy="3438525"/>
                  <wp:effectExtent l="0" t="0" r="0" b="952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15000" cy="3438525"/>
                          </a:xfrm>
                          <a:prstGeom prst="rect">
                            <a:avLst/>
                          </a:prstGeom>
                          <a:noFill/>
                          <a:ln>
                            <a:noFill/>
                          </a:ln>
                        </pic:spPr>
                      </pic:pic>
                    </a:graphicData>
                  </a:graphic>
                </wp:inline>
              </w:drawing>
            </w:r>
          </w:p>
        </w:tc>
      </w:tr>
      <w:tr w:rsidR="00EF606B" w14:paraId="6CC2AFBE" w14:textId="77777777" w:rsidTr="00EF606B">
        <w:tc>
          <w:tcPr>
            <w:tcW w:w="5000" w:type="pct"/>
          </w:tcPr>
          <w:p w14:paraId="36E800D1" w14:textId="164946D4" w:rsidR="00EF606B" w:rsidRPr="00EF606B" w:rsidRDefault="00EF606B" w:rsidP="00EF606B">
            <w:pPr>
              <w:jc w:val="both"/>
              <w:rPr>
                <w:sz w:val="16"/>
                <w:szCs w:val="16"/>
              </w:rPr>
            </w:pPr>
            <w:r>
              <w:rPr>
                <w:sz w:val="16"/>
                <w:szCs w:val="16"/>
              </w:rPr>
              <w:t>Source: Merit Stocks, Factset</w:t>
            </w:r>
          </w:p>
        </w:tc>
      </w:tr>
    </w:tbl>
    <w:p w14:paraId="4004BD64" w14:textId="77777777" w:rsidR="00C8725A" w:rsidRDefault="00C8725A" w:rsidP="002753EB">
      <w:pPr>
        <w:spacing w:after="0"/>
        <w:jc w:val="both"/>
      </w:pPr>
    </w:p>
    <w:p w14:paraId="0F8190F3" w14:textId="0A2E38BB" w:rsidR="002753EB" w:rsidRDefault="002753EB" w:rsidP="002753EB">
      <w:pPr>
        <w:spacing w:after="0"/>
        <w:jc w:val="both"/>
      </w:pPr>
      <w:r>
        <w:t>Mth P/E (x). The FTSE JSE All Share (ALSI) has dipped into negative territory on the year after two brutal trading days for global equities. Chart 1: ALSI YTD % Change Chart 2: ALSI Sectors % of Stocks Above 50 – DMAs Chart 3 – 6, ALSI Price; ALSI 10 – Day A/D Line; % of ALSI Stocks Above 50 – DMAs; ALSI Trailing 12 – Mth P/E (x). Mth P/E (x). The FTSE JSE All Share (ALSI) has dipped into negative territory on the year after two brutal trading days for global equities. Chart 1: ALSI YTD % Change Chart 2: ALSI Sectors % of Stocks Above 50 – DMAs Chart 3 – 6, ALSI Price; ALSI 10 – Day A/D Line; % of ALSI Stocks Above 50 – DMAs; ALSI Trailing 12 – Mth P/E (x). Chart 1: ALSI YTD % Change Chart 2: ALSI Sectors % of Stocks Above 50 – DMAs Chart 3 – 6, ALSI Price; ALSI 10 – Day A/D Line; % of ALSI.</w:t>
      </w:r>
    </w:p>
    <w:p w14:paraId="2A430220" w14:textId="67B55532" w:rsidR="002753EB" w:rsidRDefault="002753EB" w:rsidP="002753EB">
      <w:pPr>
        <w:spacing w:after="0"/>
        <w:jc w:val="both"/>
      </w:pPr>
    </w:p>
    <w:p w14:paraId="301836F7" w14:textId="0575CDB9" w:rsidR="00EF606B" w:rsidRDefault="002753EB" w:rsidP="00456020">
      <w:pPr>
        <w:spacing w:after="0"/>
        <w:jc w:val="both"/>
      </w:pPr>
      <w:r>
        <w:t xml:space="preserve">Mth P/E (x). The FTSE JSE All Share (ALSI) has dipped into negative territory on the year after two brutal trading days for global equities. Chart 1: ALSI YTD % Change Chart 2: ALSI Sectors % of Stocks Above 50 – DMAs Chart 3 – 6, ALSI Price; ALSI 10 – Day A/D Line; % of ALSI Stocks Above 50 – DMAs; ALSI Trailing 12 – Mth P/E (x). Mth P/E (x). The FTSE JSE All Share (ALSI) has dipped into negative territory on the year after two brutal trading days for global equities. Chart 1: ALSI YTD % Change Chart 2: ALSI Sectors % of Stocks Above 50 – DMAs Chart 3 – 6, ALSI Price; ALSI 10 – Day A/D Line; % of ALSI Stocks Above 50 – DMAs; ALSI Trailing 12 – Mth P/E (x). Chart 1: ALSI YTD % Change Chart 2: ALSI </w:t>
      </w:r>
      <w:r>
        <w:lastRenderedPageBreak/>
        <w:t>Sectors % of Stocks Above 50 – DMAs Chart 3 – 6, ALSI Price; ALSI 10 – Day A/D Line; % of ALSI.</w:t>
      </w:r>
      <w:r w:rsidR="00EF606B">
        <w:t xml:space="preserve"> </w:t>
      </w:r>
      <w:r w:rsidR="00EF606B">
        <w:t xml:space="preserve">The FTSE JSE All Share (ALSI) has dipped into negative territory on the year after two brutal trading days for global equities. Chart 1: ALSI YTD % Change Chart 2: ALSI Sectors % of Stocks Above 50 – DMAs Chart 3 – 6, ALSI Price; ALSI 10 – Day A/D Line; % of ALSI Stocks Above 50 – DMAs; ALSI Trailing 12 – Mth P/E (x). The FTSE JSE All Share (ALSI) has dipped into negative territory on the year after two brutal trading days for global equities. Chart 1: ALSI YTD % Change Chart 2: ALSI Sectors % of Stocks Above 50 – DMAs Chart 3 – 6, ALSI Price; ALSI 10 – Day A/D Line; % of ALSI Stocks Above 50 – DMAs; </w:t>
      </w:r>
    </w:p>
    <w:p w14:paraId="72F4FA8A" w14:textId="3B3C82E2" w:rsidR="00456020" w:rsidRDefault="00456020" w:rsidP="002753EB">
      <w:pPr>
        <w:spacing w:after="0"/>
        <w:jc w:val="both"/>
      </w:pPr>
    </w:p>
    <w:tbl>
      <w:tblPr>
        <w:tblStyle w:val="TableGrid"/>
        <w:tblW w:w="5000" w:type="pct"/>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026"/>
      </w:tblGrid>
      <w:tr w:rsidR="00456020" w14:paraId="6FE9FE10" w14:textId="77777777" w:rsidTr="00D37590">
        <w:tc>
          <w:tcPr>
            <w:tcW w:w="5000" w:type="pct"/>
          </w:tcPr>
          <w:p w14:paraId="169BBE8E" w14:textId="3402DA8C" w:rsidR="00456020" w:rsidRPr="00EF606B" w:rsidRDefault="00456020" w:rsidP="00D37590">
            <w:pPr>
              <w:jc w:val="both"/>
              <w:rPr>
                <w:rFonts w:asciiTheme="majorHAnsi" w:hAnsiTheme="majorHAnsi" w:cstheme="majorHAnsi"/>
                <w:b/>
              </w:rPr>
            </w:pPr>
            <w:r>
              <w:rPr>
                <w:rFonts w:asciiTheme="majorHAnsi" w:hAnsiTheme="majorHAnsi" w:cstheme="majorHAnsi"/>
                <w:b/>
              </w:rPr>
              <w:t xml:space="preserve">Figure </w:t>
            </w:r>
            <w:r>
              <w:rPr>
                <w:rFonts w:asciiTheme="majorHAnsi" w:hAnsiTheme="majorHAnsi" w:cstheme="majorHAnsi"/>
                <w:b/>
              </w:rPr>
              <w:t>7</w:t>
            </w:r>
            <w:r>
              <w:rPr>
                <w:rFonts w:asciiTheme="majorHAnsi" w:hAnsiTheme="majorHAnsi" w:cstheme="majorHAnsi"/>
                <w:b/>
              </w:rPr>
              <w:t xml:space="preserve">: FTSE JSE </w:t>
            </w:r>
            <w:r>
              <w:rPr>
                <w:rFonts w:asciiTheme="majorHAnsi" w:hAnsiTheme="majorHAnsi" w:cstheme="majorHAnsi"/>
                <w:b/>
              </w:rPr>
              <w:t>PEG Ratios</w:t>
            </w:r>
          </w:p>
        </w:tc>
      </w:tr>
      <w:tr w:rsidR="00456020" w14:paraId="5747A6F5" w14:textId="77777777" w:rsidTr="00D37590">
        <w:tc>
          <w:tcPr>
            <w:tcW w:w="5000" w:type="pct"/>
          </w:tcPr>
          <w:p w14:paraId="7EC499A7" w14:textId="6F3A358B" w:rsidR="00456020" w:rsidRDefault="00456020" w:rsidP="00D37590">
            <w:pPr>
              <w:jc w:val="both"/>
            </w:pPr>
            <w:r w:rsidRPr="00456020">
              <w:rPr>
                <w:noProof/>
              </w:rPr>
              <w:drawing>
                <wp:inline distT="0" distB="0" distL="0" distR="0" wp14:anchorId="77AAA184" wp14:editId="5D689C68">
                  <wp:extent cx="4229100" cy="3381375"/>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29100" cy="3381375"/>
                          </a:xfrm>
                          <a:prstGeom prst="rect">
                            <a:avLst/>
                          </a:prstGeom>
                          <a:noFill/>
                          <a:ln>
                            <a:noFill/>
                          </a:ln>
                        </pic:spPr>
                      </pic:pic>
                    </a:graphicData>
                  </a:graphic>
                </wp:inline>
              </w:drawing>
            </w:r>
          </w:p>
        </w:tc>
      </w:tr>
      <w:tr w:rsidR="00456020" w14:paraId="223AA9A8" w14:textId="77777777" w:rsidTr="00D37590">
        <w:tc>
          <w:tcPr>
            <w:tcW w:w="5000" w:type="pct"/>
          </w:tcPr>
          <w:p w14:paraId="72DCF89E" w14:textId="77777777" w:rsidR="00456020" w:rsidRPr="00EF606B" w:rsidRDefault="00456020" w:rsidP="00D37590">
            <w:pPr>
              <w:jc w:val="both"/>
              <w:rPr>
                <w:sz w:val="16"/>
                <w:szCs w:val="16"/>
              </w:rPr>
            </w:pPr>
            <w:r>
              <w:rPr>
                <w:sz w:val="16"/>
                <w:szCs w:val="16"/>
              </w:rPr>
              <w:t>Source: Merit Stocks, Factset</w:t>
            </w:r>
          </w:p>
        </w:tc>
      </w:tr>
    </w:tbl>
    <w:p w14:paraId="1B75F098" w14:textId="1361F7BE" w:rsidR="00456020" w:rsidRDefault="00456020" w:rsidP="002753EB">
      <w:pPr>
        <w:spacing w:after="0"/>
        <w:jc w:val="both"/>
      </w:pPr>
    </w:p>
    <w:p w14:paraId="6D1EC5EC" w14:textId="77777777" w:rsidR="00456020" w:rsidRDefault="00456020" w:rsidP="00456020">
      <w:pPr>
        <w:spacing w:after="0"/>
        <w:jc w:val="both"/>
      </w:pPr>
      <w:r>
        <w:t xml:space="preserve">ALSI Trailing 12 – Mth P/E (x). </w:t>
      </w:r>
    </w:p>
    <w:p w14:paraId="509BF0E2" w14:textId="77777777" w:rsidR="00456020" w:rsidRDefault="00456020" w:rsidP="00456020">
      <w:pPr>
        <w:spacing w:after="0"/>
        <w:jc w:val="both"/>
      </w:pPr>
      <w:r>
        <w:t>Mth P/E (x). The FTSE JSE All Share (ALSI) has dipped into negative territory on the year after two brutal trading days for global equities. Chart 1: ALSI YTD % Change Chart 2: ALSI Sectors % of Stocks Above 50 – DMAs Chart 3 – 6, ALSI Price; ALSI 10 – Day A/D Line; % of ALSI Stocks Above 50 – DMAs; ALSI Trailing 12 – Mth P/E (x).</w:t>
      </w:r>
    </w:p>
    <w:p w14:paraId="5AE19578" w14:textId="77777777" w:rsidR="00456020" w:rsidRDefault="00456020" w:rsidP="00456020">
      <w:pPr>
        <w:spacing w:after="0"/>
        <w:jc w:val="both"/>
      </w:pPr>
      <w:r>
        <w:t xml:space="preserve">Sectors % of Stocks Above 50 – DMAs Chart 3 – 6, ALSI Price; ALSI 10 – Day A/D Line; % of ALSI. The FTSE JSE All Share (ALSI) has dipped into negative territory on the year after two brutal trading days for global equities. Chart 1: ALSI YTD % Change Chart 2: ALSI Sectors % of Stocks Above 50 – DMAs </w:t>
      </w:r>
    </w:p>
    <w:p w14:paraId="1ADFA88F" w14:textId="77777777" w:rsidR="00456020" w:rsidRDefault="00456020" w:rsidP="00456020">
      <w:pPr>
        <w:spacing w:after="0"/>
        <w:jc w:val="both"/>
      </w:pPr>
    </w:p>
    <w:p w14:paraId="6B69FE2A" w14:textId="1B2FFBE8" w:rsidR="00456020" w:rsidRDefault="00456020" w:rsidP="00456020">
      <w:pPr>
        <w:spacing w:after="0"/>
        <w:jc w:val="both"/>
      </w:pPr>
      <w:r>
        <w:t xml:space="preserve">Chart 3 – 6, ALSI Price; ALSI 10 – Day A/D Line; % of ALSI Stocks Above 50 – DMAs; ALSI Trailing 12 – Mth P/E (x). The FTSE JSE All Share (ALSI) has dipped into negative territory on the year after two brutal trading days for global equities. Chart 1: ALSI YTD % Change Chart 2: ALSI Sectors % of Stocks Above 50 – DMAs Chart 3 – 6, ALSI Price; ALSI 10 – Day A/D Line; % of ALSI Stocks Above 50 – DMAs; </w:t>
      </w:r>
    </w:p>
    <w:p w14:paraId="5B408C9E" w14:textId="77777777" w:rsidR="00456020" w:rsidRDefault="00456020" w:rsidP="00456020">
      <w:pPr>
        <w:spacing w:after="0"/>
        <w:jc w:val="both"/>
      </w:pPr>
      <w:r>
        <w:t xml:space="preserve">Mth P/E (x). The FTSE JSE All Share (ALSI) has dipped into negative territory on the year after two brutal trading days for global equities. Chart 1: ALSI YTD % Change Chart 2: ALSI Sectors % of Stocks Above 50 – DMAs Chart 3 – 6, ALSI Price; ALSI 10 – Day A/D Line; % of ALSI Stocks Above 50 – DMAs; </w:t>
      </w:r>
    </w:p>
    <w:p w14:paraId="3069FD14" w14:textId="272F2D26" w:rsidR="00456020" w:rsidRDefault="00456020" w:rsidP="002753EB">
      <w:pPr>
        <w:spacing w:after="0"/>
        <w:jc w:val="both"/>
      </w:pPr>
      <w:r>
        <w:t>brutal trading days for global equities. Chart 1: ALSI YTD % Change Chart 2: ALSI Sectors % of Stocks Above 50 – DMAs Chart 3 – 6, ALSI Price; ALSI 10 – Day A/D Line; % of ALSI Stocks Above 50 – DMAs;</w:t>
      </w:r>
    </w:p>
    <w:p w14:paraId="5ECBB9DE" w14:textId="30DF43D0" w:rsidR="00131F34" w:rsidRPr="001F5687" w:rsidRDefault="00131F34" w:rsidP="001F5687">
      <w:pPr>
        <w:sectPr w:rsidR="00131F34" w:rsidRPr="001F5687" w:rsidSect="005E6110">
          <w:headerReference w:type="default" r:id="rId13"/>
          <w:footerReference w:type="default" r:id="rId14"/>
          <w:footerReference w:type="first" r:id="rId15"/>
          <w:pgSz w:w="11906" w:h="16838"/>
          <w:pgMar w:top="1440" w:right="1440" w:bottom="1440" w:left="1440" w:header="340" w:footer="170" w:gutter="0"/>
          <w:cols w:space="708"/>
          <w:docGrid w:linePitch="360"/>
        </w:sect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58"/>
      </w:tblGrid>
      <w:tr w:rsidR="00EF4AE2" w14:paraId="1CA4AC1E" w14:textId="77777777" w:rsidTr="00DB2C4F">
        <w:tc>
          <w:tcPr>
            <w:tcW w:w="5000" w:type="pct"/>
          </w:tcPr>
          <w:p w14:paraId="58B46C1E" w14:textId="6F8CF21B" w:rsidR="00EF4AE2" w:rsidRPr="009C41F2" w:rsidRDefault="00EF4AE2" w:rsidP="00B03E72">
            <w:pPr>
              <w:jc w:val="both"/>
              <w:rPr>
                <w:rFonts w:asciiTheme="majorHAnsi" w:hAnsiTheme="majorHAnsi" w:cstheme="majorHAnsi"/>
                <w:b/>
              </w:rPr>
            </w:pPr>
            <w:r w:rsidRPr="009C41F2">
              <w:rPr>
                <w:rFonts w:asciiTheme="majorHAnsi" w:hAnsiTheme="majorHAnsi" w:cstheme="majorHAnsi"/>
                <w:b/>
              </w:rPr>
              <w:lastRenderedPageBreak/>
              <w:t xml:space="preserve">Figure </w:t>
            </w:r>
            <w:r w:rsidR="00B10C4D">
              <w:rPr>
                <w:rFonts w:asciiTheme="majorHAnsi" w:hAnsiTheme="majorHAnsi" w:cstheme="majorHAnsi"/>
                <w:b/>
              </w:rPr>
              <w:t>8</w:t>
            </w:r>
            <w:r w:rsidRPr="009C41F2">
              <w:rPr>
                <w:rFonts w:asciiTheme="majorHAnsi" w:hAnsiTheme="majorHAnsi" w:cstheme="majorHAnsi"/>
                <w:b/>
              </w:rPr>
              <w:t xml:space="preserve">: </w:t>
            </w:r>
            <w:r>
              <w:rPr>
                <w:rFonts w:asciiTheme="majorHAnsi" w:hAnsiTheme="majorHAnsi" w:cstheme="majorHAnsi"/>
                <w:b/>
              </w:rPr>
              <w:t>Valuation</w:t>
            </w:r>
            <w:r w:rsidR="00234F90">
              <w:rPr>
                <w:rFonts w:asciiTheme="majorHAnsi" w:hAnsiTheme="majorHAnsi" w:cstheme="majorHAnsi"/>
                <w:b/>
              </w:rPr>
              <w:t xml:space="preserve"> Matrix</w:t>
            </w:r>
          </w:p>
        </w:tc>
      </w:tr>
      <w:tr w:rsidR="00EF4AE2" w14:paraId="64B0EC27" w14:textId="77777777" w:rsidTr="00DB2C4F">
        <w:tc>
          <w:tcPr>
            <w:tcW w:w="5000" w:type="pct"/>
          </w:tcPr>
          <w:tbl>
            <w:tblPr>
              <w:tblW w:w="5000" w:type="pct"/>
              <w:tblLook w:val="04A0" w:firstRow="1" w:lastRow="0" w:firstColumn="1" w:lastColumn="0" w:noHBand="0" w:noVBand="1"/>
            </w:tblPr>
            <w:tblGrid>
              <w:gridCol w:w="969"/>
              <w:gridCol w:w="1279"/>
              <w:gridCol w:w="1034"/>
              <w:gridCol w:w="1034"/>
              <w:gridCol w:w="1367"/>
              <w:gridCol w:w="1034"/>
              <w:gridCol w:w="1106"/>
              <w:gridCol w:w="1035"/>
              <w:gridCol w:w="1035"/>
              <w:gridCol w:w="1128"/>
              <w:gridCol w:w="947"/>
              <w:gridCol w:w="912"/>
              <w:gridCol w:w="862"/>
            </w:tblGrid>
            <w:tr w:rsidR="00EF4AE2" w:rsidRPr="00DB2C4F" w14:paraId="5A2B6369" w14:textId="77777777" w:rsidTr="00EF4AE2">
              <w:trPr>
                <w:trHeight w:val="300"/>
              </w:trPr>
              <w:tc>
                <w:tcPr>
                  <w:tcW w:w="320" w:type="pct"/>
                  <w:tcBorders>
                    <w:top w:val="single" w:sz="4" w:space="0" w:color="auto"/>
                    <w:left w:val="nil"/>
                    <w:bottom w:val="nil"/>
                    <w:right w:val="nil"/>
                  </w:tcBorders>
                  <w:shd w:val="clear" w:color="auto" w:fill="auto"/>
                  <w:noWrap/>
                  <w:vAlign w:val="bottom"/>
                  <w:hideMark/>
                </w:tcPr>
                <w:p w14:paraId="48164942" w14:textId="77777777" w:rsidR="00EF4AE2" w:rsidRPr="00EF4AE2" w:rsidRDefault="00EF4AE2" w:rsidP="00EF4AE2">
                  <w:pPr>
                    <w:spacing w:after="0" w:line="240" w:lineRule="auto"/>
                    <w:rPr>
                      <w:rFonts w:ascii="Calibri" w:eastAsia="Times New Roman" w:hAnsi="Calibri" w:cs="Calibri"/>
                      <w:b/>
                      <w:sz w:val="20"/>
                      <w:szCs w:val="20"/>
                      <w:lang w:eastAsia="en-ZA"/>
                    </w:rPr>
                  </w:pPr>
                  <w:r w:rsidRPr="00EF4AE2">
                    <w:rPr>
                      <w:rFonts w:ascii="Calibri" w:eastAsia="Times New Roman" w:hAnsi="Calibri" w:cs="Calibri"/>
                      <w:b/>
                      <w:sz w:val="20"/>
                      <w:szCs w:val="20"/>
                      <w:lang w:eastAsia="en-ZA"/>
                    </w:rPr>
                    <w:t>ICB</w:t>
                  </w:r>
                </w:p>
              </w:tc>
              <w:tc>
                <w:tcPr>
                  <w:tcW w:w="473" w:type="pct"/>
                  <w:tcBorders>
                    <w:top w:val="single" w:sz="4" w:space="0" w:color="auto"/>
                    <w:left w:val="nil"/>
                    <w:bottom w:val="nil"/>
                    <w:right w:val="nil"/>
                  </w:tcBorders>
                  <w:shd w:val="clear" w:color="auto" w:fill="auto"/>
                  <w:noWrap/>
                  <w:vAlign w:val="bottom"/>
                  <w:hideMark/>
                </w:tcPr>
                <w:p w14:paraId="1A055699" w14:textId="77777777" w:rsidR="00EF4AE2" w:rsidRPr="00EF4AE2" w:rsidRDefault="00EF4AE2" w:rsidP="00EF4AE2">
                  <w:pPr>
                    <w:spacing w:after="0" w:line="240" w:lineRule="auto"/>
                    <w:rPr>
                      <w:rFonts w:ascii="Calibri" w:eastAsia="Times New Roman" w:hAnsi="Calibri" w:cs="Calibri"/>
                      <w:b/>
                      <w:sz w:val="20"/>
                      <w:szCs w:val="20"/>
                      <w:lang w:eastAsia="en-ZA"/>
                    </w:rPr>
                  </w:pPr>
                  <w:r w:rsidRPr="00EF4AE2">
                    <w:rPr>
                      <w:rFonts w:ascii="Calibri" w:eastAsia="Times New Roman" w:hAnsi="Calibri" w:cs="Calibri"/>
                      <w:b/>
                      <w:sz w:val="20"/>
                      <w:szCs w:val="20"/>
                      <w:lang w:eastAsia="en-ZA"/>
                    </w:rPr>
                    <w:t> </w:t>
                  </w:r>
                </w:p>
              </w:tc>
              <w:tc>
                <w:tcPr>
                  <w:tcW w:w="384" w:type="pct"/>
                  <w:tcBorders>
                    <w:top w:val="single" w:sz="4" w:space="0" w:color="auto"/>
                    <w:left w:val="nil"/>
                    <w:bottom w:val="nil"/>
                    <w:right w:val="nil"/>
                  </w:tcBorders>
                  <w:shd w:val="clear" w:color="auto" w:fill="auto"/>
                  <w:noWrap/>
                  <w:vAlign w:val="bottom"/>
                  <w:hideMark/>
                </w:tcPr>
                <w:p w14:paraId="59D7FB74" w14:textId="77777777" w:rsidR="00EF4AE2" w:rsidRPr="00EF4AE2" w:rsidRDefault="00EF4AE2" w:rsidP="00EF4AE2">
                  <w:pPr>
                    <w:spacing w:after="0" w:line="240" w:lineRule="auto"/>
                    <w:jc w:val="right"/>
                    <w:rPr>
                      <w:rFonts w:ascii="Calibri" w:eastAsia="Times New Roman" w:hAnsi="Calibri" w:cs="Calibri"/>
                      <w:b/>
                      <w:sz w:val="20"/>
                      <w:szCs w:val="20"/>
                      <w:lang w:eastAsia="en-ZA"/>
                    </w:rPr>
                  </w:pPr>
                  <w:r w:rsidRPr="00EF4AE2">
                    <w:rPr>
                      <w:rFonts w:ascii="Calibri" w:eastAsia="Times New Roman" w:hAnsi="Calibri" w:cs="Calibri"/>
                      <w:b/>
                      <w:sz w:val="20"/>
                      <w:szCs w:val="20"/>
                      <w:lang w:eastAsia="en-ZA"/>
                    </w:rPr>
                    <w:t>P/E LTM</w:t>
                  </w:r>
                </w:p>
              </w:tc>
              <w:tc>
                <w:tcPr>
                  <w:tcW w:w="384" w:type="pct"/>
                  <w:tcBorders>
                    <w:top w:val="single" w:sz="4" w:space="0" w:color="auto"/>
                    <w:left w:val="nil"/>
                    <w:bottom w:val="nil"/>
                    <w:right w:val="nil"/>
                  </w:tcBorders>
                  <w:shd w:val="clear" w:color="auto" w:fill="auto"/>
                  <w:noWrap/>
                  <w:vAlign w:val="bottom"/>
                  <w:hideMark/>
                </w:tcPr>
                <w:p w14:paraId="4DD6831B" w14:textId="77777777" w:rsidR="00EF4AE2" w:rsidRPr="00EF4AE2" w:rsidRDefault="00EF4AE2" w:rsidP="00EF4AE2">
                  <w:pPr>
                    <w:spacing w:after="0" w:line="240" w:lineRule="auto"/>
                    <w:jc w:val="right"/>
                    <w:rPr>
                      <w:rFonts w:ascii="Calibri" w:eastAsia="Times New Roman" w:hAnsi="Calibri" w:cs="Calibri"/>
                      <w:b/>
                      <w:sz w:val="20"/>
                      <w:szCs w:val="20"/>
                      <w:lang w:eastAsia="en-ZA"/>
                    </w:rPr>
                  </w:pPr>
                  <w:r w:rsidRPr="00EF4AE2">
                    <w:rPr>
                      <w:rFonts w:ascii="Calibri" w:eastAsia="Times New Roman" w:hAnsi="Calibri" w:cs="Calibri"/>
                      <w:b/>
                      <w:sz w:val="20"/>
                      <w:szCs w:val="20"/>
                      <w:lang w:eastAsia="en-ZA"/>
                    </w:rPr>
                    <w:t>P/E CY1</w:t>
                  </w:r>
                </w:p>
              </w:tc>
              <w:tc>
                <w:tcPr>
                  <w:tcW w:w="505" w:type="pct"/>
                  <w:tcBorders>
                    <w:top w:val="single" w:sz="4" w:space="0" w:color="auto"/>
                    <w:left w:val="nil"/>
                    <w:bottom w:val="nil"/>
                    <w:right w:val="nil"/>
                  </w:tcBorders>
                  <w:shd w:val="clear" w:color="auto" w:fill="auto"/>
                  <w:noWrap/>
                  <w:vAlign w:val="bottom"/>
                  <w:hideMark/>
                </w:tcPr>
                <w:p w14:paraId="39708737" w14:textId="77777777" w:rsidR="00EF4AE2" w:rsidRPr="00EF4AE2" w:rsidRDefault="00EF4AE2" w:rsidP="00EF4AE2">
                  <w:pPr>
                    <w:spacing w:after="0" w:line="240" w:lineRule="auto"/>
                    <w:jc w:val="right"/>
                    <w:rPr>
                      <w:rFonts w:ascii="Calibri" w:eastAsia="Times New Roman" w:hAnsi="Calibri" w:cs="Calibri"/>
                      <w:b/>
                      <w:sz w:val="20"/>
                      <w:szCs w:val="20"/>
                      <w:lang w:eastAsia="en-ZA"/>
                    </w:rPr>
                  </w:pPr>
                  <w:r w:rsidRPr="00EF4AE2">
                    <w:rPr>
                      <w:rFonts w:ascii="Calibri" w:eastAsia="Times New Roman" w:hAnsi="Calibri" w:cs="Calibri"/>
                      <w:b/>
                      <w:sz w:val="20"/>
                      <w:szCs w:val="20"/>
                      <w:lang w:eastAsia="en-ZA"/>
                    </w:rPr>
                    <w:t>P/E CY2</w:t>
                  </w:r>
                </w:p>
              </w:tc>
              <w:tc>
                <w:tcPr>
                  <w:tcW w:w="384" w:type="pct"/>
                  <w:tcBorders>
                    <w:top w:val="single" w:sz="4" w:space="0" w:color="auto"/>
                    <w:left w:val="nil"/>
                    <w:bottom w:val="nil"/>
                    <w:right w:val="nil"/>
                  </w:tcBorders>
                  <w:shd w:val="clear" w:color="auto" w:fill="auto"/>
                  <w:noWrap/>
                  <w:vAlign w:val="bottom"/>
                  <w:hideMark/>
                </w:tcPr>
                <w:p w14:paraId="2D000BBE" w14:textId="77777777" w:rsidR="00EF4AE2" w:rsidRPr="00EF4AE2" w:rsidRDefault="00EF4AE2" w:rsidP="00EF4AE2">
                  <w:pPr>
                    <w:spacing w:after="0" w:line="240" w:lineRule="auto"/>
                    <w:jc w:val="right"/>
                    <w:rPr>
                      <w:rFonts w:ascii="Calibri" w:eastAsia="Times New Roman" w:hAnsi="Calibri" w:cs="Calibri"/>
                      <w:b/>
                      <w:sz w:val="20"/>
                      <w:szCs w:val="20"/>
                      <w:lang w:eastAsia="en-ZA"/>
                    </w:rPr>
                  </w:pPr>
                  <w:r w:rsidRPr="00EF4AE2">
                    <w:rPr>
                      <w:rFonts w:ascii="Calibri" w:eastAsia="Times New Roman" w:hAnsi="Calibri" w:cs="Calibri"/>
                      <w:b/>
                      <w:sz w:val="20"/>
                      <w:szCs w:val="20"/>
                      <w:lang w:eastAsia="en-ZA"/>
                    </w:rPr>
                    <w:t>P/E NTM</w:t>
                  </w:r>
                </w:p>
              </w:tc>
              <w:tc>
                <w:tcPr>
                  <w:tcW w:w="410" w:type="pct"/>
                  <w:tcBorders>
                    <w:top w:val="single" w:sz="4" w:space="0" w:color="auto"/>
                    <w:left w:val="nil"/>
                    <w:bottom w:val="nil"/>
                    <w:right w:val="nil"/>
                  </w:tcBorders>
                  <w:shd w:val="clear" w:color="auto" w:fill="auto"/>
                  <w:noWrap/>
                  <w:vAlign w:val="bottom"/>
                  <w:hideMark/>
                </w:tcPr>
                <w:p w14:paraId="75CF4BCA" w14:textId="77777777" w:rsidR="00EF4AE2" w:rsidRPr="00EF4AE2" w:rsidRDefault="00EF4AE2" w:rsidP="00EF4AE2">
                  <w:pPr>
                    <w:spacing w:after="0" w:line="240" w:lineRule="auto"/>
                    <w:jc w:val="right"/>
                    <w:rPr>
                      <w:rFonts w:ascii="Calibri" w:eastAsia="Times New Roman" w:hAnsi="Calibri" w:cs="Calibri"/>
                      <w:b/>
                      <w:sz w:val="20"/>
                      <w:szCs w:val="20"/>
                      <w:lang w:eastAsia="en-ZA"/>
                    </w:rPr>
                  </w:pPr>
                  <w:r w:rsidRPr="00EF4AE2">
                    <w:rPr>
                      <w:rFonts w:ascii="Calibri" w:eastAsia="Times New Roman" w:hAnsi="Calibri" w:cs="Calibri"/>
                      <w:b/>
                      <w:sz w:val="20"/>
                      <w:szCs w:val="20"/>
                      <w:lang w:eastAsia="en-ZA"/>
                    </w:rPr>
                    <w:t>P/S</w:t>
                  </w:r>
                </w:p>
              </w:tc>
              <w:tc>
                <w:tcPr>
                  <w:tcW w:w="384" w:type="pct"/>
                  <w:tcBorders>
                    <w:top w:val="single" w:sz="4" w:space="0" w:color="auto"/>
                    <w:left w:val="nil"/>
                    <w:bottom w:val="nil"/>
                    <w:right w:val="nil"/>
                  </w:tcBorders>
                  <w:shd w:val="clear" w:color="auto" w:fill="auto"/>
                  <w:noWrap/>
                  <w:vAlign w:val="bottom"/>
                  <w:hideMark/>
                </w:tcPr>
                <w:p w14:paraId="2C9B876F" w14:textId="77777777" w:rsidR="00EF4AE2" w:rsidRPr="00EF4AE2" w:rsidRDefault="00EF4AE2" w:rsidP="00EF4AE2">
                  <w:pPr>
                    <w:spacing w:after="0" w:line="240" w:lineRule="auto"/>
                    <w:jc w:val="right"/>
                    <w:rPr>
                      <w:rFonts w:ascii="Calibri" w:eastAsia="Times New Roman" w:hAnsi="Calibri" w:cs="Calibri"/>
                      <w:b/>
                      <w:sz w:val="20"/>
                      <w:szCs w:val="20"/>
                      <w:lang w:eastAsia="en-ZA"/>
                    </w:rPr>
                  </w:pPr>
                  <w:r w:rsidRPr="00EF4AE2">
                    <w:rPr>
                      <w:rFonts w:ascii="Calibri" w:eastAsia="Times New Roman" w:hAnsi="Calibri" w:cs="Calibri"/>
                      <w:b/>
                      <w:sz w:val="20"/>
                      <w:szCs w:val="20"/>
                      <w:lang w:eastAsia="en-ZA"/>
                    </w:rPr>
                    <w:t>P/B</w:t>
                  </w:r>
                </w:p>
              </w:tc>
              <w:tc>
                <w:tcPr>
                  <w:tcW w:w="384" w:type="pct"/>
                  <w:tcBorders>
                    <w:top w:val="single" w:sz="4" w:space="0" w:color="auto"/>
                    <w:left w:val="nil"/>
                    <w:bottom w:val="nil"/>
                    <w:right w:val="nil"/>
                  </w:tcBorders>
                  <w:shd w:val="clear" w:color="auto" w:fill="auto"/>
                  <w:noWrap/>
                  <w:vAlign w:val="bottom"/>
                  <w:hideMark/>
                </w:tcPr>
                <w:p w14:paraId="65A77B53" w14:textId="77777777" w:rsidR="00EF4AE2" w:rsidRPr="00EF4AE2" w:rsidRDefault="00EF4AE2" w:rsidP="00EF4AE2">
                  <w:pPr>
                    <w:spacing w:after="0" w:line="240" w:lineRule="auto"/>
                    <w:jc w:val="right"/>
                    <w:rPr>
                      <w:rFonts w:ascii="Calibri" w:eastAsia="Times New Roman" w:hAnsi="Calibri" w:cs="Calibri"/>
                      <w:b/>
                      <w:sz w:val="20"/>
                      <w:szCs w:val="20"/>
                      <w:lang w:eastAsia="en-ZA"/>
                    </w:rPr>
                  </w:pPr>
                  <w:r w:rsidRPr="00EF4AE2">
                    <w:rPr>
                      <w:rFonts w:ascii="Calibri" w:eastAsia="Times New Roman" w:hAnsi="Calibri" w:cs="Calibri"/>
                      <w:b/>
                      <w:sz w:val="20"/>
                      <w:szCs w:val="20"/>
                      <w:lang w:eastAsia="en-ZA"/>
                    </w:rPr>
                    <w:t>P/CF</w:t>
                  </w:r>
                </w:p>
              </w:tc>
              <w:tc>
                <w:tcPr>
                  <w:tcW w:w="359" w:type="pct"/>
                  <w:tcBorders>
                    <w:top w:val="single" w:sz="4" w:space="0" w:color="auto"/>
                    <w:left w:val="nil"/>
                    <w:bottom w:val="nil"/>
                    <w:right w:val="nil"/>
                  </w:tcBorders>
                  <w:shd w:val="clear" w:color="auto" w:fill="auto"/>
                  <w:noWrap/>
                  <w:vAlign w:val="bottom"/>
                  <w:hideMark/>
                </w:tcPr>
                <w:p w14:paraId="6532FC5C" w14:textId="77777777" w:rsidR="00EF4AE2" w:rsidRPr="00EF4AE2" w:rsidRDefault="00EF4AE2" w:rsidP="00EF4AE2">
                  <w:pPr>
                    <w:spacing w:after="0" w:line="240" w:lineRule="auto"/>
                    <w:jc w:val="right"/>
                    <w:rPr>
                      <w:rFonts w:ascii="Calibri" w:eastAsia="Times New Roman" w:hAnsi="Calibri" w:cs="Calibri"/>
                      <w:b/>
                      <w:sz w:val="20"/>
                      <w:szCs w:val="20"/>
                      <w:lang w:eastAsia="en-ZA"/>
                    </w:rPr>
                  </w:pPr>
                  <w:r w:rsidRPr="00EF4AE2">
                    <w:rPr>
                      <w:rFonts w:ascii="Calibri" w:eastAsia="Times New Roman" w:hAnsi="Calibri" w:cs="Calibri"/>
                      <w:b/>
                      <w:sz w:val="20"/>
                      <w:szCs w:val="20"/>
                      <w:lang w:eastAsia="en-ZA"/>
                    </w:rPr>
                    <w:t>EV/EBITDA</w:t>
                  </w:r>
                </w:p>
              </w:tc>
              <w:tc>
                <w:tcPr>
                  <w:tcW w:w="352" w:type="pct"/>
                  <w:tcBorders>
                    <w:top w:val="single" w:sz="4" w:space="0" w:color="auto"/>
                    <w:left w:val="nil"/>
                    <w:bottom w:val="nil"/>
                    <w:right w:val="nil"/>
                  </w:tcBorders>
                  <w:shd w:val="clear" w:color="auto" w:fill="auto"/>
                  <w:noWrap/>
                  <w:vAlign w:val="bottom"/>
                  <w:hideMark/>
                </w:tcPr>
                <w:p w14:paraId="7008541F" w14:textId="77777777" w:rsidR="00EF4AE2" w:rsidRPr="00EF4AE2" w:rsidRDefault="00EF4AE2" w:rsidP="00EF4AE2">
                  <w:pPr>
                    <w:spacing w:after="0" w:line="240" w:lineRule="auto"/>
                    <w:jc w:val="right"/>
                    <w:rPr>
                      <w:rFonts w:ascii="Calibri" w:eastAsia="Times New Roman" w:hAnsi="Calibri" w:cs="Calibri"/>
                      <w:b/>
                      <w:sz w:val="20"/>
                      <w:szCs w:val="20"/>
                      <w:lang w:eastAsia="en-ZA"/>
                    </w:rPr>
                  </w:pPr>
                  <w:r w:rsidRPr="00EF4AE2">
                    <w:rPr>
                      <w:rFonts w:ascii="Calibri" w:eastAsia="Times New Roman" w:hAnsi="Calibri" w:cs="Calibri"/>
                      <w:b/>
                      <w:sz w:val="20"/>
                      <w:szCs w:val="20"/>
                      <w:lang w:eastAsia="en-ZA"/>
                    </w:rPr>
                    <w:t>EV/EBIT</w:t>
                  </w:r>
                </w:p>
              </w:tc>
              <w:tc>
                <w:tcPr>
                  <w:tcW w:w="339" w:type="pct"/>
                  <w:tcBorders>
                    <w:top w:val="single" w:sz="4" w:space="0" w:color="auto"/>
                    <w:left w:val="nil"/>
                    <w:bottom w:val="nil"/>
                    <w:right w:val="nil"/>
                  </w:tcBorders>
                  <w:shd w:val="clear" w:color="auto" w:fill="auto"/>
                  <w:noWrap/>
                  <w:vAlign w:val="bottom"/>
                  <w:hideMark/>
                </w:tcPr>
                <w:p w14:paraId="0A902F63" w14:textId="77777777" w:rsidR="00EF4AE2" w:rsidRPr="00EF4AE2" w:rsidRDefault="00EF4AE2" w:rsidP="00EF4AE2">
                  <w:pPr>
                    <w:spacing w:after="0" w:line="240" w:lineRule="auto"/>
                    <w:jc w:val="right"/>
                    <w:rPr>
                      <w:rFonts w:ascii="Calibri" w:eastAsia="Times New Roman" w:hAnsi="Calibri" w:cs="Calibri"/>
                      <w:b/>
                      <w:sz w:val="20"/>
                      <w:szCs w:val="20"/>
                      <w:lang w:eastAsia="en-ZA"/>
                    </w:rPr>
                  </w:pPr>
                  <w:r w:rsidRPr="00EF4AE2">
                    <w:rPr>
                      <w:rFonts w:ascii="Calibri" w:eastAsia="Times New Roman" w:hAnsi="Calibri" w:cs="Calibri"/>
                      <w:b/>
                      <w:sz w:val="20"/>
                      <w:szCs w:val="20"/>
                      <w:lang w:eastAsia="en-ZA"/>
                    </w:rPr>
                    <w:t>EV/S</w:t>
                  </w:r>
                </w:p>
              </w:tc>
              <w:tc>
                <w:tcPr>
                  <w:tcW w:w="321" w:type="pct"/>
                  <w:tcBorders>
                    <w:top w:val="single" w:sz="4" w:space="0" w:color="auto"/>
                    <w:left w:val="nil"/>
                    <w:bottom w:val="nil"/>
                    <w:right w:val="nil"/>
                  </w:tcBorders>
                  <w:shd w:val="clear" w:color="auto" w:fill="auto"/>
                  <w:noWrap/>
                  <w:vAlign w:val="bottom"/>
                  <w:hideMark/>
                </w:tcPr>
                <w:p w14:paraId="5876A1D6" w14:textId="77777777" w:rsidR="00EF4AE2" w:rsidRPr="00EF4AE2" w:rsidRDefault="00EF4AE2" w:rsidP="00EF4AE2">
                  <w:pPr>
                    <w:spacing w:after="0" w:line="240" w:lineRule="auto"/>
                    <w:jc w:val="right"/>
                    <w:rPr>
                      <w:rFonts w:ascii="Calibri" w:eastAsia="Times New Roman" w:hAnsi="Calibri" w:cs="Calibri"/>
                      <w:b/>
                      <w:sz w:val="20"/>
                      <w:szCs w:val="20"/>
                      <w:lang w:eastAsia="en-ZA"/>
                    </w:rPr>
                  </w:pPr>
                  <w:r w:rsidRPr="00EF4AE2">
                    <w:rPr>
                      <w:rFonts w:ascii="Calibri" w:eastAsia="Times New Roman" w:hAnsi="Calibri" w:cs="Calibri"/>
                      <w:b/>
                      <w:sz w:val="20"/>
                      <w:szCs w:val="20"/>
                      <w:lang w:eastAsia="en-ZA"/>
                    </w:rPr>
                    <w:t>DY</w:t>
                  </w:r>
                </w:p>
              </w:tc>
            </w:tr>
            <w:tr w:rsidR="00EF4AE2" w:rsidRPr="00DB2C4F" w14:paraId="3D74C224" w14:textId="77777777" w:rsidTr="00EF4AE2">
              <w:trPr>
                <w:trHeight w:val="315"/>
              </w:trPr>
              <w:tc>
                <w:tcPr>
                  <w:tcW w:w="320" w:type="pct"/>
                  <w:tcBorders>
                    <w:top w:val="nil"/>
                    <w:left w:val="nil"/>
                    <w:bottom w:val="single" w:sz="8" w:space="0" w:color="auto"/>
                    <w:right w:val="nil"/>
                  </w:tcBorders>
                  <w:shd w:val="clear" w:color="auto" w:fill="auto"/>
                  <w:noWrap/>
                  <w:vAlign w:val="bottom"/>
                  <w:hideMark/>
                </w:tcPr>
                <w:p w14:paraId="4D9196B9" w14:textId="77777777" w:rsidR="00EF4AE2" w:rsidRPr="00EF4AE2" w:rsidRDefault="00EF4AE2" w:rsidP="00EF4AE2">
                  <w:pPr>
                    <w:spacing w:after="0" w:line="240" w:lineRule="auto"/>
                    <w:rPr>
                      <w:rFonts w:ascii="Calibri" w:eastAsia="Times New Roman" w:hAnsi="Calibri" w:cs="Calibri"/>
                      <w:b/>
                      <w:sz w:val="20"/>
                      <w:szCs w:val="20"/>
                      <w:lang w:eastAsia="en-ZA"/>
                    </w:rPr>
                  </w:pPr>
                  <w:r w:rsidRPr="00EF4AE2">
                    <w:rPr>
                      <w:rFonts w:ascii="Calibri" w:eastAsia="Times New Roman" w:hAnsi="Calibri" w:cs="Calibri"/>
                      <w:b/>
                      <w:sz w:val="20"/>
                      <w:szCs w:val="20"/>
                      <w:lang w:eastAsia="en-ZA"/>
                    </w:rPr>
                    <w:t>Industry</w:t>
                  </w:r>
                </w:p>
              </w:tc>
              <w:tc>
                <w:tcPr>
                  <w:tcW w:w="473" w:type="pct"/>
                  <w:tcBorders>
                    <w:top w:val="nil"/>
                    <w:left w:val="nil"/>
                    <w:bottom w:val="single" w:sz="8" w:space="0" w:color="auto"/>
                    <w:right w:val="nil"/>
                  </w:tcBorders>
                  <w:shd w:val="clear" w:color="auto" w:fill="auto"/>
                  <w:noWrap/>
                  <w:vAlign w:val="bottom"/>
                  <w:hideMark/>
                </w:tcPr>
                <w:p w14:paraId="65502068" w14:textId="77777777" w:rsidR="00EF4AE2" w:rsidRPr="00EF4AE2" w:rsidRDefault="00EF4AE2" w:rsidP="00EF4AE2">
                  <w:pPr>
                    <w:spacing w:after="0" w:line="240" w:lineRule="auto"/>
                    <w:rPr>
                      <w:rFonts w:ascii="Calibri" w:eastAsia="Times New Roman" w:hAnsi="Calibri" w:cs="Calibri"/>
                      <w:b/>
                      <w:sz w:val="20"/>
                      <w:szCs w:val="20"/>
                      <w:lang w:eastAsia="en-ZA"/>
                    </w:rPr>
                  </w:pPr>
                  <w:r w:rsidRPr="00EF4AE2">
                    <w:rPr>
                      <w:rFonts w:ascii="Calibri" w:eastAsia="Times New Roman" w:hAnsi="Calibri" w:cs="Calibri"/>
                      <w:b/>
                      <w:sz w:val="20"/>
                      <w:szCs w:val="20"/>
                      <w:lang w:eastAsia="en-ZA"/>
                    </w:rPr>
                    <w:t> </w:t>
                  </w:r>
                </w:p>
              </w:tc>
              <w:tc>
                <w:tcPr>
                  <w:tcW w:w="384" w:type="pct"/>
                  <w:tcBorders>
                    <w:top w:val="nil"/>
                    <w:left w:val="nil"/>
                    <w:bottom w:val="single" w:sz="8" w:space="0" w:color="auto"/>
                    <w:right w:val="nil"/>
                  </w:tcBorders>
                  <w:shd w:val="clear" w:color="auto" w:fill="auto"/>
                  <w:noWrap/>
                  <w:vAlign w:val="bottom"/>
                  <w:hideMark/>
                </w:tcPr>
                <w:p w14:paraId="4DF81085" w14:textId="77777777" w:rsidR="00EF4AE2" w:rsidRPr="00EF4AE2" w:rsidRDefault="00EF4AE2" w:rsidP="00EF4AE2">
                  <w:pPr>
                    <w:spacing w:after="0" w:line="240" w:lineRule="auto"/>
                    <w:jc w:val="right"/>
                    <w:rPr>
                      <w:rFonts w:ascii="Calibri" w:eastAsia="Times New Roman" w:hAnsi="Calibri" w:cs="Calibri"/>
                      <w:b/>
                      <w:sz w:val="20"/>
                      <w:szCs w:val="20"/>
                      <w:lang w:eastAsia="en-ZA"/>
                    </w:rPr>
                  </w:pPr>
                  <w:r w:rsidRPr="00EF4AE2">
                    <w:rPr>
                      <w:rFonts w:ascii="Calibri" w:eastAsia="Times New Roman" w:hAnsi="Calibri" w:cs="Calibri"/>
                      <w:b/>
                      <w:sz w:val="20"/>
                      <w:szCs w:val="20"/>
                      <w:lang w:eastAsia="en-ZA"/>
                    </w:rPr>
                    <w:t>(x)</w:t>
                  </w:r>
                </w:p>
              </w:tc>
              <w:tc>
                <w:tcPr>
                  <w:tcW w:w="384" w:type="pct"/>
                  <w:tcBorders>
                    <w:top w:val="nil"/>
                    <w:left w:val="nil"/>
                    <w:bottom w:val="single" w:sz="8" w:space="0" w:color="auto"/>
                    <w:right w:val="nil"/>
                  </w:tcBorders>
                  <w:shd w:val="clear" w:color="auto" w:fill="auto"/>
                  <w:noWrap/>
                  <w:vAlign w:val="bottom"/>
                  <w:hideMark/>
                </w:tcPr>
                <w:p w14:paraId="409E96E2" w14:textId="77777777" w:rsidR="00EF4AE2" w:rsidRPr="00EF4AE2" w:rsidRDefault="00EF4AE2" w:rsidP="00EF4AE2">
                  <w:pPr>
                    <w:spacing w:after="0" w:line="240" w:lineRule="auto"/>
                    <w:jc w:val="right"/>
                    <w:rPr>
                      <w:rFonts w:ascii="Calibri" w:eastAsia="Times New Roman" w:hAnsi="Calibri" w:cs="Calibri"/>
                      <w:b/>
                      <w:sz w:val="20"/>
                      <w:szCs w:val="20"/>
                      <w:lang w:eastAsia="en-ZA"/>
                    </w:rPr>
                  </w:pPr>
                  <w:r w:rsidRPr="00EF4AE2">
                    <w:rPr>
                      <w:rFonts w:ascii="Calibri" w:eastAsia="Times New Roman" w:hAnsi="Calibri" w:cs="Calibri"/>
                      <w:b/>
                      <w:sz w:val="20"/>
                      <w:szCs w:val="20"/>
                      <w:lang w:eastAsia="en-ZA"/>
                    </w:rPr>
                    <w:t>(x)</w:t>
                  </w:r>
                </w:p>
              </w:tc>
              <w:tc>
                <w:tcPr>
                  <w:tcW w:w="505" w:type="pct"/>
                  <w:tcBorders>
                    <w:top w:val="nil"/>
                    <w:left w:val="nil"/>
                    <w:bottom w:val="single" w:sz="8" w:space="0" w:color="auto"/>
                    <w:right w:val="nil"/>
                  </w:tcBorders>
                  <w:shd w:val="clear" w:color="auto" w:fill="auto"/>
                  <w:noWrap/>
                  <w:vAlign w:val="bottom"/>
                  <w:hideMark/>
                </w:tcPr>
                <w:p w14:paraId="1F0F2A67" w14:textId="77777777" w:rsidR="00EF4AE2" w:rsidRPr="00EF4AE2" w:rsidRDefault="00EF4AE2" w:rsidP="00EF4AE2">
                  <w:pPr>
                    <w:spacing w:after="0" w:line="240" w:lineRule="auto"/>
                    <w:jc w:val="right"/>
                    <w:rPr>
                      <w:rFonts w:ascii="Calibri" w:eastAsia="Times New Roman" w:hAnsi="Calibri" w:cs="Calibri"/>
                      <w:b/>
                      <w:sz w:val="20"/>
                      <w:szCs w:val="20"/>
                      <w:lang w:eastAsia="en-ZA"/>
                    </w:rPr>
                  </w:pPr>
                  <w:r w:rsidRPr="00EF4AE2">
                    <w:rPr>
                      <w:rFonts w:ascii="Calibri" w:eastAsia="Times New Roman" w:hAnsi="Calibri" w:cs="Calibri"/>
                      <w:b/>
                      <w:sz w:val="20"/>
                      <w:szCs w:val="20"/>
                      <w:lang w:eastAsia="en-ZA"/>
                    </w:rPr>
                    <w:t>(x)</w:t>
                  </w:r>
                </w:p>
              </w:tc>
              <w:tc>
                <w:tcPr>
                  <w:tcW w:w="384" w:type="pct"/>
                  <w:tcBorders>
                    <w:top w:val="nil"/>
                    <w:left w:val="nil"/>
                    <w:bottom w:val="single" w:sz="8" w:space="0" w:color="auto"/>
                    <w:right w:val="nil"/>
                  </w:tcBorders>
                  <w:shd w:val="clear" w:color="auto" w:fill="auto"/>
                  <w:noWrap/>
                  <w:vAlign w:val="bottom"/>
                  <w:hideMark/>
                </w:tcPr>
                <w:p w14:paraId="23DA8424" w14:textId="77777777" w:rsidR="00EF4AE2" w:rsidRPr="00EF4AE2" w:rsidRDefault="00EF4AE2" w:rsidP="00EF4AE2">
                  <w:pPr>
                    <w:spacing w:after="0" w:line="240" w:lineRule="auto"/>
                    <w:jc w:val="right"/>
                    <w:rPr>
                      <w:rFonts w:ascii="Calibri" w:eastAsia="Times New Roman" w:hAnsi="Calibri" w:cs="Calibri"/>
                      <w:b/>
                      <w:sz w:val="20"/>
                      <w:szCs w:val="20"/>
                      <w:lang w:eastAsia="en-ZA"/>
                    </w:rPr>
                  </w:pPr>
                  <w:r w:rsidRPr="00EF4AE2">
                    <w:rPr>
                      <w:rFonts w:ascii="Calibri" w:eastAsia="Times New Roman" w:hAnsi="Calibri" w:cs="Calibri"/>
                      <w:b/>
                      <w:sz w:val="20"/>
                      <w:szCs w:val="20"/>
                      <w:lang w:eastAsia="en-ZA"/>
                    </w:rPr>
                    <w:t>(x)</w:t>
                  </w:r>
                </w:p>
              </w:tc>
              <w:tc>
                <w:tcPr>
                  <w:tcW w:w="410" w:type="pct"/>
                  <w:tcBorders>
                    <w:top w:val="nil"/>
                    <w:left w:val="nil"/>
                    <w:bottom w:val="single" w:sz="8" w:space="0" w:color="auto"/>
                    <w:right w:val="nil"/>
                  </w:tcBorders>
                  <w:shd w:val="clear" w:color="auto" w:fill="auto"/>
                  <w:noWrap/>
                  <w:vAlign w:val="bottom"/>
                  <w:hideMark/>
                </w:tcPr>
                <w:p w14:paraId="110C20F0" w14:textId="77777777" w:rsidR="00EF4AE2" w:rsidRPr="00EF4AE2" w:rsidRDefault="00EF4AE2" w:rsidP="00EF4AE2">
                  <w:pPr>
                    <w:spacing w:after="0" w:line="240" w:lineRule="auto"/>
                    <w:jc w:val="right"/>
                    <w:rPr>
                      <w:rFonts w:ascii="Calibri" w:eastAsia="Times New Roman" w:hAnsi="Calibri" w:cs="Calibri"/>
                      <w:b/>
                      <w:sz w:val="20"/>
                      <w:szCs w:val="20"/>
                      <w:lang w:eastAsia="en-ZA"/>
                    </w:rPr>
                  </w:pPr>
                  <w:r w:rsidRPr="00EF4AE2">
                    <w:rPr>
                      <w:rFonts w:ascii="Calibri" w:eastAsia="Times New Roman" w:hAnsi="Calibri" w:cs="Calibri"/>
                      <w:b/>
                      <w:sz w:val="20"/>
                      <w:szCs w:val="20"/>
                      <w:lang w:eastAsia="en-ZA"/>
                    </w:rPr>
                    <w:t>(x)</w:t>
                  </w:r>
                </w:p>
              </w:tc>
              <w:tc>
                <w:tcPr>
                  <w:tcW w:w="384" w:type="pct"/>
                  <w:tcBorders>
                    <w:top w:val="nil"/>
                    <w:left w:val="nil"/>
                    <w:bottom w:val="single" w:sz="8" w:space="0" w:color="auto"/>
                    <w:right w:val="nil"/>
                  </w:tcBorders>
                  <w:shd w:val="clear" w:color="auto" w:fill="auto"/>
                  <w:noWrap/>
                  <w:vAlign w:val="bottom"/>
                  <w:hideMark/>
                </w:tcPr>
                <w:p w14:paraId="19585215" w14:textId="77777777" w:rsidR="00EF4AE2" w:rsidRPr="00EF4AE2" w:rsidRDefault="00EF4AE2" w:rsidP="00EF4AE2">
                  <w:pPr>
                    <w:spacing w:after="0" w:line="240" w:lineRule="auto"/>
                    <w:jc w:val="right"/>
                    <w:rPr>
                      <w:rFonts w:ascii="Calibri" w:eastAsia="Times New Roman" w:hAnsi="Calibri" w:cs="Calibri"/>
                      <w:b/>
                      <w:sz w:val="20"/>
                      <w:szCs w:val="20"/>
                      <w:lang w:eastAsia="en-ZA"/>
                    </w:rPr>
                  </w:pPr>
                  <w:r w:rsidRPr="00EF4AE2">
                    <w:rPr>
                      <w:rFonts w:ascii="Calibri" w:eastAsia="Times New Roman" w:hAnsi="Calibri" w:cs="Calibri"/>
                      <w:b/>
                      <w:sz w:val="20"/>
                      <w:szCs w:val="20"/>
                      <w:lang w:eastAsia="en-ZA"/>
                    </w:rPr>
                    <w:t>(x)</w:t>
                  </w:r>
                </w:p>
              </w:tc>
              <w:tc>
                <w:tcPr>
                  <w:tcW w:w="384" w:type="pct"/>
                  <w:tcBorders>
                    <w:top w:val="nil"/>
                    <w:left w:val="nil"/>
                    <w:bottom w:val="single" w:sz="8" w:space="0" w:color="auto"/>
                    <w:right w:val="nil"/>
                  </w:tcBorders>
                  <w:shd w:val="clear" w:color="auto" w:fill="auto"/>
                  <w:noWrap/>
                  <w:vAlign w:val="bottom"/>
                  <w:hideMark/>
                </w:tcPr>
                <w:p w14:paraId="6C51C0A0" w14:textId="77777777" w:rsidR="00EF4AE2" w:rsidRPr="00EF4AE2" w:rsidRDefault="00EF4AE2" w:rsidP="00EF4AE2">
                  <w:pPr>
                    <w:spacing w:after="0" w:line="240" w:lineRule="auto"/>
                    <w:jc w:val="right"/>
                    <w:rPr>
                      <w:rFonts w:ascii="Calibri" w:eastAsia="Times New Roman" w:hAnsi="Calibri" w:cs="Calibri"/>
                      <w:b/>
                      <w:sz w:val="20"/>
                      <w:szCs w:val="20"/>
                      <w:lang w:eastAsia="en-ZA"/>
                    </w:rPr>
                  </w:pPr>
                  <w:r w:rsidRPr="00EF4AE2">
                    <w:rPr>
                      <w:rFonts w:ascii="Calibri" w:eastAsia="Times New Roman" w:hAnsi="Calibri" w:cs="Calibri"/>
                      <w:b/>
                      <w:sz w:val="20"/>
                      <w:szCs w:val="20"/>
                      <w:lang w:eastAsia="en-ZA"/>
                    </w:rPr>
                    <w:t>(x)</w:t>
                  </w:r>
                </w:p>
              </w:tc>
              <w:tc>
                <w:tcPr>
                  <w:tcW w:w="359" w:type="pct"/>
                  <w:tcBorders>
                    <w:top w:val="nil"/>
                    <w:left w:val="nil"/>
                    <w:bottom w:val="single" w:sz="8" w:space="0" w:color="auto"/>
                    <w:right w:val="nil"/>
                  </w:tcBorders>
                  <w:shd w:val="clear" w:color="auto" w:fill="auto"/>
                  <w:noWrap/>
                  <w:vAlign w:val="bottom"/>
                  <w:hideMark/>
                </w:tcPr>
                <w:p w14:paraId="1757A187" w14:textId="77777777" w:rsidR="00EF4AE2" w:rsidRPr="00EF4AE2" w:rsidRDefault="00EF4AE2" w:rsidP="00EF4AE2">
                  <w:pPr>
                    <w:spacing w:after="0" w:line="240" w:lineRule="auto"/>
                    <w:jc w:val="right"/>
                    <w:rPr>
                      <w:rFonts w:ascii="Calibri" w:eastAsia="Times New Roman" w:hAnsi="Calibri" w:cs="Calibri"/>
                      <w:b/>
                      <w:sz w:val="20"/>
                      <w:szCs w:val="20"/>
                      <w:lang w:eastAsia="en-ZA"/>
                    </w:rPr>
                  </w:pPr>
                  <w:r w:rsidRPr="00EF4AE2">
                    <w:rPr>
                      <w:rFonts w:ascii="Calibri" w:eastAsia="Times New Roman" w:hAnsi="Calibri" w:cs="Calibri"/>
                      <w:b/>
                      <w:sz w:val="20"/>
                      <w:szCs w:val="20"/>
                      <w:lang w:eastAsia="en-ZA"/>
                    </w:rPr>
                    <w:t>(x)</w:t>
                  </w:r>
                </w:p>
              </w:tc>
              <w:tc>
                <w:tcPr>
                  <w:tcW w:w="352" w:type="pct"/>
                  <w:tcBorders>
                    <w:top w:val="nil"/>
                    <w:left w:val="nil"/>
                    <w:bottom w:val="single" w:sz="8" w:space="0" w:color="auto"/>
                    <w:right w:val="nil"/>
                  </w:tcBorders>
                  <w:shd w:val="clear" w:color="auto" w:fill="auto"/>
                  <w:noWrap/>
                  <w:vAlign w:val="bottom"/>
                  <w:hideMark/>
                </w:tcPr>
                <w:p w14:paraId="17DC84FF" w14:textId="77777777" w:rsidR="00EF4AE2" w:rsidRPr="00EF4AE2" w:rsidRDefault="00EF4AE2" w:rsidP="00EF4AE2">
                  <w:pPr>
                    <w:spacing w:after="0" w:line="240" w:lineRule="auto"/>
                    <w:jc w:val="right"/>
                    <w:rPr>
                      <w:rFonts w:ascii="Calibri" w:eastAsia="Times New Roman" w:hAnsi="Calibri" w:cs="Calibri"/>
                      <w:b/>
                      <w:sz w:val="20"/>
                      <w:szCs w:val="20"/>
                      <w:lang w:eastAsia="en-ZA"/>
                    </w:rPr>
                  </w:pPr>
                  <w:r w:rsidRPr="00EF4AE2">
                    <w:rPr>
                      <w:rFonts w:ascii="Calibri" w:eastAsia="Times New Roman" w:hAnsi="Calibri" w:cs="Calibri"/>
                      <w:b/>
                      <w:sz w:val="20"/>
                      <w:szCs w:val="20"/>
                      <w:lang w:eastAsia="en-ZA"/>
                    </w:rPr>
                    <w:t>(x)</w:t>
                  </w:r>
                </w:p>
              </w:tc>
              <w:tc>
                <w:tcPr>
                  <w:tcW w:w="339" w:type="pct"/>
                  <w:tcBorders>
                    <w:top w:val="nil"/>
                    <w:left w:val="nil"/>
                    <w:bottom w:val="single" w:sz="8" w:space="0" w:color="auto"/>
                    <w:right w:val="nil"/>
                  </w:tcBorders>
                  <w:shd w:val="clear" w:color="auto" w:fill="auto"/>
                  <w:noWrap/>
                  <w:vAlign w:val="bottom"/>
                  <w:hideMark/>
                </w:tcPr>
                <w:p w14:paraId="01E6F306" w14:textId="77777777" w:rsidR="00EF4AE2" w:rsidRPr="00EF4AE2" w:rsidRDefault="00EF4AE2" w:rsidP="00EF4AE2">
                  <w:pPr>
                    <w:spacing w:after="0" w:line="240" w:lineRule="auto"/>
                    <w:jc w:val="right"/>
                    <w:rPr>
                      <w:rFonts w:ascii="Calibri" w:eastAsia="Times New Roman" w:hAnsi="Calibri" w:cs="Calibri"/>
                      <w:b/>
                      <w:sz w:val="20"/>
                      <w:szCs w:val="20"/>
                      <w:lang w:eastAsia="en-ZA"/>
                    </w:rPr>
                  </w:pPr>
                  <w:r w:rsidRPr="00EF4AE2">
                    <w:rPr>
                      <w:rFonts w:ascii="Calibri" w:eastAsia="Times New Roman" w:hAnsi="Calibri" w:cs="Calibri"/>
                      <w:b/>
                      <w:sz w:val="20"/>
                      <w:szCs w:val="20"/>
                      <w:lang w:eastAsia="en-ZA"/>
                    </w:rPr>
                    <w:t>(x)</w:t>
                  </w:r>
                </w:p>
              </w:tc>
              <w:tc>
                <w:tcPr>
                  <w:tcW w:w="321" w:type="pct"/>
                  <w:tcBorders>
                    <w:top w:val="nil"/>
                    <w:left w:val="nil"/>
                    <w:bottom w:val="single" w:sz="8" w:space="0" w:color="auto"/>
                    <w:right w:val="nil"/>
                  </w:tcBorders>
                  <w:shd w:val="clear" w:color="auto" w:fill="auto"/>
                  <w:noWrap/>
                  <w:vAlign w:val="bottom"/>
                  <w:hideMark/>
                </w:tcPr>
                <w:p w14:paraId="1405CC21" w14:textId="77777777" w:rsidR="00EF4AE2" w:rsidRPr="00EF4AE2" w:rsidRDefault="00EF4AE2" w:rsidP="00EF4AE2">
                  <w:pPr>
                    <w:spacing w:after="0" w:line="240" w:lineRule="auto"/>
                    <w:jc w:val="right"/>
                    <w:rPr>
                      <w:rFonts w:ascii="Calibri" w:eastAsia="Times New Roman" w:hAnsi="Calibri" w:cs="Calibri"/>
                      <w:b/>
                      <w:sz w:val="20"/>
                      <w:szCs w:val="20"/>
                      <w:lang w:eastAsia="en-ZA"/>
                    </w:rPr>
                  </w:pPr>
                  <w:r w:rsidRPr="00EF4AE2">
                    <w:rPr>
                      <w:rFonts w:ascii="Calibri" w:eastAsia="Times New Roman" w:hAnsi="Calibri" w:cs="Calibri"/>
                      <w:b/>
                      <w:sz w:val="20"/>
                      <w:szCs w:val="20"/>
                      <w:lang w:eastAsia="en-ZA"/>
                    </w:rPr>
                    <w:t>(%)</w:t>
                  </w:r>
                </w:p>
              </w:tc>
            </w:tr>
            <w:tr w:rsidR="00EF4AE2" w:rsidRPr="00DB2C4F" w14:paraId="289BD81B" w14:textId="77777777" w:rsidTr="00EF4AE2">
              <w:trPr>
                <w:trHeight w:val="300"/>
              </w:trPr>
              <w:tc>
                <w:tcPr>
                  <w:tcW w:w="320" w:type="pct"/>
                  <w:tcBorders>
                    <w:top w:val="nil"/>
                    <w:left w:val="nil"/>
                    <w:bottom w:val="nil"/>
                    <w:right w:val="nil"/>
                  </w:tcBorders>
                  <w:shd w:val="clear" w:color="auto" w:fill="FFFFFF" w:themeFill="background1"/>
                  <w:noWrap/>
                  <w:vAlign w:val="bottom"/>
                  <w:hideMark/>
                </w:tcPr>
                <w:p w14:paraId="4348B9BE" w14:textId="77777777" w:rsidR="00EF4AE2" w:rsidRPr="00EF4AE2" w:rsidRDefault="00EF4AE2" w:rsidP="00EF4AE2">
                  <w:pPr>
                    <w:spacing w:after="0" w:line="240" w:lineRule="auto"/>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All Share</w:t>
                  </w:r>
                </w:p>
              </w:tc>
              <w:tc>
                <w:tcPr>
                  <w:tcW w:w="473" w:type="pct"/>
                  <w:tcBorders>
                    <w:top w:val="nil"/>
                    <w:left w:val="nil"/>
                    <w:bottom w:val="nil"/>
                    <w:right w:val="nil"/>
                  </w:tcBorders>
                  <w:shd w:val="clear" w:color="auto" w:fill="FFFFFF" w:themeFill="background1"/>
                  <w:noWrap/>
                  <w:vAlign w:val="bottom"/>
                  <w:hideMark/>
                </w:tcPr>
                <w:p w14:paraId="580A7F9F" w14:textId="77777777" w:rsidR="00EF4AE2" w:rsidRPr="00EF4AE2" w:rsidRDefault="00EF4AE2" w:rsidP="00EF4AE2">
                  <w:pPr>
                    <w:spacing w:after="0" w:line="240" w:lineRule="auto"/>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 </w:t>
                  </w:r>
                </w:p>
              </w:tc>
              <w:tc>
                <w:tcPr>
                  <w:tcW w:w="384" w:type="pct"/>
                  <w:tcBorders>
                    <w:top w:val="nil"/>
                    <w:left w:val="nil"/>
                    <w:bottom w:val="nil"/>
                    <w:right w:val="nil"/>
                  </w:tcBorders>
                  <w:shd w:val="clear" w:color="auto" w:fill="FFFFFF" w:themeFill="background1"/>
                  <w:noWrap/>
                  <w:vAlign w:val="bottom"/>
                  <w:hideMark/>
                </w:tcPr>
                <w:p w14:paraId="25CEC92F"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15,90</w:t>
                  </w:r>
                </w:p>
              </w:tc>
              <w:tc>
                <w:tcPr>
                  <w:tcW w:w="384" w:type="pct"/>
                  <w:tcBorders>
                    <w:top w:val="nil"/>
                    <w:left w:val="nil"/>
                    <w:bottom w:val="nil"/>
                    <w:right w:val="nil"/>
                  </w:tcBorders>
                  <w:shd w:val="clear" w:color="auto" w:fill="FFFFFF" w:themeFill="background1"/>
                  <w:noWrap/>
                  <w:vAlign w:val="bottom"/>
                  <w:hideMark/>
                </w:tcPr>
                <w:p w14:paraId="0908E26D"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13,27</w:t>
                  </w:r>
                </w:p>
              </w:tc>
              <w:tc>
                <w:tcPr>
                  <w:tcW w:w="505" w:type="pct"/>
                  <w:tcBorders>
                    <w:top w:val="nil"/>
                    <w:left w:val="nil"/>
                    <w:bottom w:val="nil"/>
                    <w:right w:val="nil"/>
                  </w:tcBorders>
                  <w:shd w:val="clear" w:color="auto" w:fill="FFFFFF" w:themeFill="background1"/>
                  <w:noWrap/>
                  <w:vAlign w:val="bottom"/>
                  <w:hideMark/>
                </w:tcPr>
                <w:p w14:paraId="34E3149D"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12,01</w:t>
                  </w:r>
                </w:p>
              </w:tc>
              <w:tc>
                <w:tcPr>
                  <w:tcW w:w="384" w:type="pct"/>
                  <w:tcBorders>
                    <w:top w:val="nil"/>
                    <w:left w:val="nil"/>
                    <w:bottom w:val="nil"/>
                    <w:right w:val="nil"/>
                  </w:tcBorders>
                  <w:shd w:val="clear" w:color="auto" w:fill="FFFFFF" w:themeFill="background1"/>
                  <w:noWrap/>
                  <w:vAlign w:val="bottom"/>
                  <w:hideMark/>
                </w:tcPr>
                <w:p w14:paraId="069A9A8A"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12,99</w:t>
                  </w:r>
                </w:p>
              </w:tc>
              <w:tc>
                <w:tcPr>
                  <w:tcW w:w="410" w:type="pct"/>
                  <w:tcBorders>
                    <w:top w:val="nil"/>
                    <w:left w:val="nil"/>
                    <w:bottom w:val="nil"/>
                    <w:right w:val="nil"/>
                  </w:tcBorders>
                  <w:shd w:val="clear" w:color="auto" w:fill="FFFFFF" w:themeFill="background1"/>
                  <w:noWrap/>
                  <w:vAlign w:val="bottom"/>
                  <w:hideMark/>
                </w:tcPr>
                <w:p w14:paraId="742748E4"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1,80</w:t>
                  </w:r>
                </w:p>
              </w:tc>
              <w:tc>
                <w:tcPr>
                  <w:tcW w:w="384" w:type="pct"/>
                  <w:tcBorders>
                    <w:top w:val="nil"/>
                    <w:left w:val="nil"/>
                    <w:bottom w:val="nil"/>
                    <w:right w:val="nil"/>
                  </w:tcBorders>
                  <w:shd w:val="clear" w:color="auto" w:fill="FFFFFF" w:themeFill="background1"/>
                  <w:noWrap/>
                  <w:vAlign w:val="bottom"/>
                  <w:hideMark/>
                </w:tcPr>
                <w:p w14:paraId="22244BD7"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1,90</w:t>
                  </w:r>
                </w:p>
              </w:tc>
              <w:tc>
                <w:tcPr>
                  <w:tcW w:w="384" w:type="pct"/>
                  <w:tcBorders>
                    <w:top w:val="nil"/>
                    <w:left w:val="nil"/>
                    <w:bottom w:val="nil"/>
                    <w:right w:val="nil"/>
                  </w:tcBorders>
                  <w:shd w:val="clear" w:color="auto" w:fill="FFFFFF" w:themeFill="background1"/>
                  <w:noWrap/>
                  <w:vAlign w:val="bottom"/>
                  <w:hideMark/>
                </w:tcPr>
                <w:p w14:paraId="657E3811"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10,94</w:t>
                  </w:r>
                </w:p>
              </w:tc>
              <w:tc>
                <w:tcPr>
                  <w:tcW w:w="359" w:type="pct"/>
                  <w:tcBorders>
                    <w:top w:val="nil"/>
                    <w:left w:val="nil"/>
                    <w:bottom w:val="nil"/>
                    <w:right w:val="nil"/>
                  </w:tcBorders>
                  <w:shd w:val="clear" w:color="auto" w:fill="FFFFFF" w:themeFill="background1"/>
                  <w:noWrap/>
                  <w:vAlign w:val="bottom"/>
                  <w:hideMark/>
                </w:tcPr>
                <w:p w14:paraId="3639D086"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10,25</w:t>
                  </w:r>
                </w:p>
              </w:tc>
              <w:tc>
                <w:tcPr>
                  <w:tcW w:w="352" w:type="pct"/>
                  <w:tcBorders>
                    <w:top w:val="nil"/>
                    <w:left w:val="nil"/>
                    <w:bottom w:val="nil"/>
                    <w:right w:val="nil"/>
                  </w:tcBorders>
                  <w:shd w:val="clear" w:color="auto" w:fill="FFFFFF" w:themeFill="background1"/>
                  <w:noWrap/>
                  <w:vAlign w:val="bottom"/>
                  <w:hideMark/>
                </w:tcPr>
                <w:p w14:paraId="6301712E"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14,93</w:t>
                  </w:r>
                </w:p>
              </w:tc>
              <w:tc>
                <w:tcPr>
                  <w:tcW w:w="339" w:type="pct"/>
                  <w:tcBorders>
                    <w:top w:val="nil"/>
                    <w:left w:val="nil"/>
                    <w:bottom w:val="nil"/>
                    <w:right w:val="nil"/>
                  </w:tcBorders>
                  <w:shd w:val="clear" w:color="auto" w:fill="FFFFFF" w:themeFill="background1"/>
                  <w:noWrap/>
                  <w:vAlign w:val="bottom"/>
                  <w:hideMark/>
                </w:tcPr>
                <w:p w14:paraId="495FDD02"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2,07</w:t>
                  </w:r>
                </w:p>
              </w:tc>
              <w:tc>
                <w:tcPr>
                  <w:tcW w:w="321" w:type="pct"/>
                  <w:tcBorders>
                    <w:top w:val="nil"/>
                    <w:left w:val="nil"/>
                    <w:bottom w:val="nil"/>
                    <w:right w:val="nil"/>
                  </w:tcBorders>
                  <w:shd w:val="clear" w:color="auto" w:fill="FFFFFF" w:themeFill="background1"/>
                  <w:noWrap/>
                  <w:vAlign w:val="bottom"/>
                  <w:hideMark/>
                </w:tcPr>
                <w:p w14:paraId="7DAE73C2"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2,84</w:t>
                  </w:r>
                </w:p>
              </w:tc>
            </w:tr>
            <w:tr w:rsidR="00DB2C4F" w:rsidRPr="00DB2C4F" w14:paraId="10EC24C7" w14:textId="77777777" w:rsidTr="00EF4AE2">
              <w:trPr>
                <w:trHeight w:val="300"/>
              </w:trPr>
              <w:tc>
                <w:tcPr>
                  <w:tcW w:w="793" w:type="pct"/>
                  <w:gridSpan w:val="2"/>
                  <w:tcBorders>
                    <w:top w:val="nil"/>
                    <w:left w:val="nil"/>
                    <w:bottom w:val="nil"/>
                    <w:right w:val="nil"/>
                  </w:tcBorders>
                  <w:shd w:val="clear" w:color="auto" w:fill="FFFFFF" w:themeFill="background1"/>
                  <w:noWrap/>
                  <w:vAlign w:val="bottom"/>
                  <w:hideMark/>
                </w:tcPr>
                <w:p w14:paraId="7DBE5CBF" w14:textId="77777777" w:rsidR="00EF4AE2" w:rsidRPr="00EF4AE2" w:rsidRDefault="00EF4AE2" w:rsidP="00EF4AE2">
                  <w:pPr>
                    <w:spacing w:after="0" w:line="240" w:lineRule="auto"/>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Financials</w:t>
                  </w:r>
                </w:p>
              </w:tc>
              <w:tc>
                <w:tcPr>
                  <w:tcW w:w="384" w:type="pct"/>
                  <w:tcBorders>
                    <w:top w:val="nil"/>
                    <w:left w:val="nil"/>
                    <w:bottom w:val="nil"/>
                    <w:right w:val="nil"/>
                  </w:tcBorders>
                  <w:shd w:val="clear" w:color="auto" w:fill="FFFFFF" w:themeFill="background1"/>
                  <w:noWrap/>
                  <w:vAlign w:val="bottom"/>
                  <w:hideMark/>
                </w:tcPr>
                <w:p w14:paraId="0AF8FC88"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15,31</w:t>
                  </w:r>
                </w:p>
              </w:tc>
              <w:tc>
                <w:tcPr>
                  <w:tcW w:w="384" w:type="pct"/>
                  <w:tcBorders>
                    <w:top w:val="nil"/>
                    <w:left w:val="nil"/>
                    <w:bottom w:val="nil"/>
                    <w:right w:val="nil"/>
                  </w:tcBorders>
                  <w:shd w:val="clear" w:color="auto" w:fill="FFFFFF" w:themeFill="background1"/>
                  <w:noWrap/>
                  <w:vAlign w:val="bottom"/>
                  <w:hideMark/>
                </w:tcPr>
                <w:p w14:paraId="0CFCABAD"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10,60</w:t>
                  </w:r>
                </w:p>
              </w:tc>
              <w:tc>
                <w:tcPr>
                  <w:tcW w:w="505" w:type="pct"/>
                  <w:tcBorders>
                    <w:top w:val="nil"/>
                    <w:left w:val="nil"/>
                    <w:bottom w:val="nil"/>
                    <w:right w:val="nil"/>
                  </w:tcBorders>
                  <w:shd w:val="clear" w:color="auto" w:fill="FFFFFF" w:themeFill="background1"/>
                  <w:noWrap/>
                  <w:vAlign w:val="bottom"/>
                  <w:hideMark/>
                </w:tcPr>
                <w:p w14:paraId="5452BD26"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9,64</w:t>
                  </w:r>
                </w:p>
              </w:tc>
              <w:tc>
                <w:tcPr>
                  <w:tcW w:w="384" w:type="pct"/>
                  <w:tcBorders>
                    <w:top w:val="nil"/>
                    <w:left w:val="nil"/>
                    <w:bottom w:val="nil"/>
                    <w:right w:val="nil"/>
                  </w:tcBorders>
                  <w:shd w:val="clear" w:color="auto" w:fill="FFFFFF" w:themeFill="background1"/>
                  <w:noWrap/>
                  <w:vAlign w:val="bottom"/>
                  <w:hideMark/>
                </w:tcPr>
                <w:p w14:paraId="052F4894"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10,39</w:t>
                  </w:r>
                </w:p>
              </w:tc>
              <w:tc>
                <w:tcPr>
                  <w:tcW w:w="410" w:type="pct"/>
                  <w:tcBorders>
                    <w:top w:val="nil"/>
                    <w:left w:val="nil"/>
                    <w:bottom w:val="nil"/>
                    <w:right w:val="nil"/>
                  </w:tcBorders>
                  <w:shd w:val="clear" w:color="auto" w:fill="FFFFFF" w:themeFill="background1"/>
                  <w:noWrap/>
                  <w:vAlign w:val="bottom"/>
                  <w:hideMark/>
                </w:tcPr>
                <w:p w14:paraId="02000D37"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2,27</w:t>
                  </w:r>
                </w:p>
              </w:tc>
              <w:tc>
                <w:tcPr>
                  <w:tcW w:w="384" w:type="pct"/>
                  <w:tcBorders>
                    <w:top w:val="nil"/>
                    <w:left w:val="nil"/>
                    <w:bottom w:val="nil"/>
                    <w:right w:val="nil"/>
                  </w:tcBorders>
                  <w:shd w:val="clear" w:color="auto" w:fill="FFFFFF" w:themeFill="background1"/>
                  <w:noWrap/>
                  <w:vAlign w:val="bottom"/>
                  <w:hideMark/>
                </w:tcPr>
                <w:p w14:paraId="5707BA57"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1,42</w:t>
                  </w:r>
                </w:p>
              </w:tc>
              <w:tc>
                <w:tcPr>
                  <w:tcW w:w="384" w:type="pct"/>
                  <w:tcBorders>
                    <w:top w:val="nil"/>
                    <w:left w:val="nil"/>
                    <w:bottom w:val="nil"/>
                    <w:right w:val="nil"/>
                  </w:tcBorders>
                  <w:shd w:val="clear" w:color="auto" w:fill="FFFFFF" w:themeFill="background1"/>
                  <w:noWrap/>
                  <w:vAlign w:val="bottom"/>
                  <w:hideMark/>
                </w:tcPr>
                <w:p w14:paraId="5E8480C2"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9,64</w:t>
                  </w:r>
                </w:p>
              </w:tc>
              <w:tc>
                <w:tcPr>
                  <w:tcW w:w="359" w:type="pct"/>
                  <w:tcBorders>
                    <w:top w:val="nil"/>
                    <w:left w:val="nil"/>
                    <w:bottom w:val="nil"/>
                    <w:right w:val="nil"/>
                  </w:tcBorders>
                  <w:shd w:val="clear" w:color="auto" w:fill="FFFFFF" w:themeFill="background1"/>
                  <w:noWrap/>
                  <w:vAlign w:val="bottom"/>
                  <w:hideMark/>
                </w:tcPr>
                <w:p w14:paraId="1C4C8B90"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18,85</w:t>
                  </w:r>
                </w:p>
              </w:tc>
              <w:tc>
                <w:tcPr>
                  <w:tcW w:w="352" w:type="pct"/>
                  <w:tcBorders>
                    <w:top w:val="nil"/>
                    <w:left w:val="nil"/>
                    <w:bottom w:val="nil"/>
                    <w:right w:val="nil"/>
                  </w:tcBorders>
                  <w:shd w:val="clear" w:color="auto" w:fill="FFFFFF" w:themeFill="background1"/>
                  <w:noWrap/>
                  <w:vAlign w:val="bottom"/>
                  <w:hideMark/>
                </w:tcPr>
                <w:p w14:paraId="3F92DB2B"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23,81</w:t>
                  </w:r>
                </w:p>
              </w:tc>
              <w:tc>
                <w:tcPr>
                  <w:tcW w:w="339" w:type="pct"/>
                  <w:tcBorders>
                    <w:top w:val="nil"/>
                    <w:left w:val="nil"/>
                    <w:bottom w:val="nil"/>
                    <w:right w:val="nil"/>
                  </w:tcBorders>
                  <w:shd w:val="clear" w:color="auto" w:fill="FFFFFF" w:themeFill="background1"/>
                  <w:noWrap/>
                  <w:vAlign w:val="bottom"/>
                  <w:hideMark/>
                </w:tcPr>
                <w:p w14:paraId="7FEEE1E0"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8,99</w:t>
                  </w:r>
                </w:p>
              </w:tc>
              <w:tc>
                <w:tcPr>
                  <w:tcW w:w="321" w:type="pct"/>
                  <w:tcBorders>
                    <w:top w:val="nil"/>
                    <w:left w:val="nil"/>
                    <w:bottom w:val="nil"/>
                    <w:right w:val="nil"/>
                  </w:tcBorders>
                  <w:shd w:val="clear" w:color="auto" w:fill="FFFFFF" w:themeFill="background1"/>
                  <w:noWrap/>
                  <w:vAlign w:val="bottom"/>
                  <w:hideMark/>
                </w:tcPr>
                <w:p w14:paraId="0A5C45BD"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4,65</w:t>
                  </w:r>
                </w:p>
              </w:tc>
            </w:tr>
            <w:tr w:rsidR="00DB2C4F" w:rsidRPr="00DB2C4F" w14:paraId="7613506E" w14:textId="77777777" w:rsidTr="00EF4AE2">
              <w:trPr>
                <w:trHeight w:val="300"/>
              </w:trPr>
              <w:tc>
                <w:tcPr>
                  <w:tcW w:w="793" w:type="pct"/>
                  <w:gridSpan w:val="2"/>
                  <w:tcBorders>
                    <w:top w:val="nil"/>
                    <w:left w:val="nil"/>
                    <w:bottom w:val="nil"/>
                    <w:right w:val="nil"/>
                  </w:tcBorders>
                  <w:shd w:val="clear" w:color="auto" w:fill="FFFFFF" w:themeFill="background1"/>
                  <w:noWrap/>
                  <w:vAlign w:val="bottom"/>
                  <w:hideMark/>
                </w:tcPr>
                <w:p w14:paraId="4E4B93D9" w14:textId="77777777" w:rsidR="00EF4AE2" w:rsidRPr="00EF4AE2" w:rsidRDefault="00EF4AE2" w:rsidP="00EF4AE2">
                  <w:pPr>
                    <w:spacing w:after="0" w:line="240" w:lineRule="auto"/>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Consumer Services</w:t>
                  </w:r>
                </w:p>
              </w:tc>
              <w:tc>
                <w:tcPr>
                  <w:tcW w:w="384" w:type="pct"/>
                  <w:tcBorders>
                    <w:top w:val="nil"/>
                    <w:left w:val="nil"/>
                    <w:bottom w:val="nil"/>
                    <w:right w:val="nil"/>
                  </w:tcBorders>
                  <w:shd w:val="clear" w:color="auto" w:fill="FFFFFF" w:themeFill="background1"/>
                  <w:noWrap/>
                  <w:vAlign w:val="bottom"/>
                  <w:hideMark/>
                </w:tcPr>
                <w:p w14:paraId="4473D674"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19,79</w:t>
                  </w:r>
                </w:p>
              </w:tc>
              <w:tc>
                <w:tcPr>
                  <w:tcW w:w="384" w:type="pct"/>
                  <w:tcBorders>
                    <w:top w:val="nil"/>
                    <w:left w:val="nil"/>
                    <w:bottom w:val="nil"/>
                    <w:right w:val="nil"/>
                  </w:tcBorders>
                  <w:shd w:val="clear" w:color="auto" w:fill="FFFFFF" w:themeFill="background1"/>
                  <w:noWrap/>
                  <w:vAlign w:val="bottom"/>
                  <w:hideMark/>
                </w:tcPr>
                <w:p w14:paraId="2AF70C30"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15,75</w:t>
                  </w:r>
                </w:p>
              </w:tc>
              <w:tc>
                <w:tcPr>
                  <w:tcW w:w="505" w:type="pct"/>
                  <w:tcBorders>
                    <w:top w:val="nil"/>
                    <w:left w:val="nil"/>
                    <w:bottom w:val="nil"/>
                    <w:right w:val="nil"/>
                  </w:tcBorders>
                  <w:shd w:val="clear" w:color="auto" w:fill="FFFFFF" w:themeFill="background1"/>
                  <w:noWrap/>
                  <w:vAlign w:val="bottom"/>
                  <w:hideMark/>
                </w:tcPr>
                <w:p w14:paraId="629B646D"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13,95</w:t>
                  </w:r>
                </w:p>
              </w:tc>
              <w:tc>
                <w:tcPr>
                  <w:tcW w:w="384" w:type="pct"/>
                  <w:tcBorders>
                    <w:top w:val="nil"/>
                    <w:left w:val="nil"/>
                    <w:bottom w:val="nil"/>
                    <w:right w:val="nil"/>
                  </w:tcBorders>
                  <w:shd w:val="clear" w:color="auto" w:fill="FFFFFF" w:themeFill="background1"/>
                  <w:noWrap/>
                  <w:vAlign w:val="bottom"/>
                  <w:hideMark/>
                </w:tcPr>
                <w:p w14:paraId="7E68A560"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15,35</w:t>
                  </w:r>
                </w:p>
              </w:tc>
              <w:tc>
                <w:tcPr>
                  <w:tcW w:w="410" w:type="pct"/>
                  <w:tcBorders>
                    <w:top w:val="nil"/>
                    <w:left w:val="nil"/>
                    <w:bottom w:val="nil"/>
                    <w:right w:val="nil"/>
                  </w:tcBorders>
                  <w:shd w:val="clear" w:color="auto" w:fill="FFFFFF" w:themeFill="background1"/>
                  <w:noWrap/>
                  <w:vAlign w:val="bottom"/>
                  <w:hideMark/>
                </w:tcPr>
                <w:p w14:paraId="0F9D56C7"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0,73</w:t>
                  </w:r>
                </w:p>
              </w:tc>
              <w:tc>
                <w:tcPr>
                  <w:tcW w:w="384" w:type="pct"/>
                  <w:tcBorders>
                    <w:top w:val="nil"/>
                    <w:left w:val="nil"/>
                    <w:bottom w:val="nil"/>
                    <w:right w:val="nil"/>
                  </w:tcBorders>
                  <w:shd w:val="clear" w:color="auto" w:fill="FFFFFF" w:themeFill="background1"/>
                  <w:noWrap/>
                  <w:vAlign w:val="bottom"/>
                  <w:hideMark/>
                </w:tcPr>
                <w:p w14:paraId="2216D05C"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3,53</w:t>
                  </w:r>
                </w:p>
              </w:tc>
              <w:tc>
                <w:tcPr>
                  <w:tcW w:w="384" w:type="pct"/>
                  <w:tcBorders>
                    <w:top w:val="nil"/>
                    <w:left w:val="nil"/>
                    <w:bottom w:val="nil"/>
                    <w:right w:val="nil"/>
                  </w:tcBorders>
                  <w:shd w:val="clear" w:color="auto" w:fill="FFFFFF" w:themeFill="background1"/>
                  <w:noWrap/>
                  <w:vAlign w:val="bottom"/>
                  <w:hideMark/>
                </w:tcPr>
                <w:p w14:paraId="60441883"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12,18</w:t>
                  </w:r>
                </w:p>
              </w:tc>
              <w:tc>
                <w:tcPr>
                  <w:tcW w:w="359" w:type="pct"/>
                  <w:tcBorders>
                    <w:top w:val="nil"/>
                    <w:left w:val="nil"/>
                    <w:bottom w:val="nil"/>
                    <w:right w:val="nil"/>
                  </w:tcBorders>
                  <w:shd w:val="clear" w:color="auto" w:fill="FFFFFF" w:themeFill="background1"/>
                  <w:noWrap/>
                  <w:vAlign w:val="bottom"/>
                  <w:hideMark/>
                </w:tcPr>
                <w:p w14:paraId="2F6D312F"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9,71</w:t>
                  </w:r>
                </w:p>
              </w:tc>
              <w:tc>
                <w:tcPr>
                  <w:tcW w:w="352" w:type="pct"/>
                  <w:tcBorders>
                    <w:top w:val="nil"/>
                    <w:left w:val="nil"/>
                    <w:bottom w:val="nil"/>
                    <w:right w:val="nil"/>
                  </w:tcBorders>
                  <w:shd w:val="clear" w:color="auto" w:fill="FFFFFF" w:themeFill="background1"/>
                  <w:noWrap/>
                  <w:vAlign w:val="bottom"/>
                  <w:hideMark/>
                </w:tcPr>
                <w:p w14:paraId="0B049884"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12,86</w:t>
                  </w:r>
                </w:p>
              </w:tc>
              <w:tc>
                <w:tcPr>
                  <w:tcW w:w="339" w:type="pct"/>
                  <w:tcBorders>
                    <w:top w:val="nil"/>
                    <w:left w:val="nil"/>
                    <w:bottom w:val="nil"/>
                    <w:right w:val="nil"/>
                  </w:tcBorders>
                  <w:shd w:val="clear" w:color="auto" w:fill="FFFFFF" w:themeFill="background1"/>
                  <w:noWrap/>
                  <w:vAlign w:val="bottom"/>
                  <w:hideMark/>
                </w:tcPr>
                <w:p w14:paraId="4A5BBB85"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0,82</w:t>
                  </w:r>
                </w:p>
              </w:tc>
              <w:tc>
                <w:tcPr>
                  <w:tcW w:w="321" w:type="pct"/>
                  <w:tcBorders>
                    <w:top w:val="nil"/>
                    <w:left w:val="nil"/>
                    <w:bottom w:val="nil"/>
                    <w:right w:val="nil"/>
                  </w:tcBorders>
                  <w:shd w:val="clear" w:color="auto" w:fill="FFFFFF" w:themeFill="background1"/>
                  <w:noWrap/>
                  <w:vAlign w:val="bottom"/>
                  <w:hideMark/>
                </w:tcPr>
                <w:p w14:paraId="3C35C6AB"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2,90</w:t>
                  </w:r>
                </w:p>
              </w:tc>
            </w:tr>
            <w:tr w:rsidR="00DB2C4F" w:rsidRPr="00DB2C4F" w14:paraId="633B2CA1" w14:textId="77777777" w:rsidTr="00EF4AE2">
              <w:trPr>
                <w:trHeight w:val="300"/>
              </w:trPr>
              <w:tc>
                <w:tcPr>
                  <w:tcW w:w="793" w:type="pct"/>
                  <w:gridSpan w:val="2"/>
                  <w:tcBorders>
                    <w:top w:val="nil"/>
                    <w:left w:val="nil"/>
                    <w:bottom w:val="nil"/>
                    <w:right w:val="nil"/>
                  </w:tcBorders>
                  <w:shd w:val="clear" w:color="auto" w:fill="FFFFFF" w:themeFill="background1"/>
                  <w:noWrap/>
                  <w:vAlign w:val="bottom"/>
                  <w:hideMark/>
                </w:tcPr>
                <w:p w14:paraId="5E0182A5" w14:textId="77777777" w:rsidR="00EF4AE2" w:rsidRPr="00EF4AE2" w:rsidRDefault="00EF4AE2" w:rsidP="00EF4AE2">
                  <w:pPr>
                    <w:spacing w:after="0" w:line="240" w:lineRule="auto"/>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Basic Materials</w:t>
                  </w:r>
                </w:p>
              </w:tc>
              <w:tc>
                <w:tcPr>
                  <w:tcW w:w="384" w:type="pct"/>
                  <w:tcBorders>
                    <w:top w:val="nil"/>
                    <w:left w:val="nil"/>
                    <w:bottom w:val="nil"/>
                    <w:right w:val="nil"/>
                  </w:tcBorders>
                  <w:shd w:val="clear" w:color="auto" w:fill="FFFFFF" w:themeFill="background1"/>
                  <w:noWrap/>
                  <w:vAlign w:val="bottom"/>
                  <w:hideMark/>
                </w:tcPr>
                <w:p w14:paraId="7AFDE95A"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17,91</w:t>
                  </w:r>
                </w:p>
              </w:tc>
              <w:tc>
                <w:tcPr>
                  <w:tcW w:w="384" w:type="pct"/>
                  <w:tcBorders>
                    <w:top w:val="nil"/>
                    <w:left w:val="nil"/>
                    <w:bottom w:val="nil"/>
                    <w:right w:val="nil"/>
                  </w:tcBorders>
                  <w:shd w:val="clear" w:color="auto" w:fill="FFFFFF" w:themeFill="background1"/>
                  <w:noWrap/>
                  <w:vAlign w:val="bottom"/>
                  <w:hideMark/>
                </w:tcPr>
                <w:p w14:paraId="79EE13BC"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11,13</w:t>
                  </w:r>
                </w:p>
              </w:tc>
              <w:tc>
                <w:tcPr>
                  <w:tcW w:w="505" w:type="pct"/>
                  <w:tcBorders>
                    <w:top w:val="nil"/>
                    <w:left w:val="nil"/>
                    <w:bottom w:val="nil"/>
                    <w:right w:val="nil"/>
                  </w:tcBorders>
                  <w:shd w:val="clear" w:color="auto" w:fill="FFFFFF" w:themeFill="background1"/>
                  <w:noWrap/>
                  <w:vAlign w:val="bottom"/>
                  <w:hideMark/>
                </w:tcPr>
                <w:p w14:paraId="3D77FED2"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11,01</w:t>
                  </w:r>
                </w:p>
              </w:tc>
              <w:tc>
                <w:tcPr>
                  <w:tcW w:w="384" w:type="pct"/>
                  <w:tcBorders>
                    <w:top w:val="nil"/>
                    <w:left w:val="nil"/>
                    <w:bottom w:val="nil"/>
                    <w:right w:val="nil"/>
                  </w:tcBorders>
                  <w:shd w:val="clear" w:color="auto" w:fill="FFFFFF" w:themeFill="background1"/>
                  <w:noWrap/>
                  <w:vAlign w:val="bottom"/>
                  <w:hideMark/>
                </w:tcPr>
                <w:p w14:paraId="3F778AF1"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11,11</w:t>
                  </w:r>
                </w:p>
              </w:tc>
              <w:tc>
                <w:tcPr>
                  <w:tcW w:w="410" w:type="pct"/>
                  <w:tcBorders>
                    <w:top w:val="nil"/>
                    <w:left w:val="nil"/>
                    <w:bottom w:val="nil"/>
                    <w:right w:val="nil"/>
                  </w:tcBorders>
                  <w:shd w:val="clear" w:color="auto" w:fill="FFFFFF" w:themeFill="background1"/>
                  <w:noWrap/>
                  <w:vAlign w:val="bottom"/>
                  <w:hideMark/>
                </w:tcPr>
                <w:p w14:paraId="681A126B"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1,58</w:t>
                  </w:r>
                </w:p>
              </w:tc>
              <w:tc>
                <w:tcPr>
                  <w:tcW w:w="384" w:type="pct"/>
                  <w:tcBorders>
                    <w:top w:val="nil"/>
                    <w:left w:val="nil"/>
                    <w:bottom w:val="nil"/>
                    <w:right w:val="nil"/>
                  </w:tcBorders>
                  <w:shd w:val="clear" w:color="auto" w:fill="FFFFFF" w:themeFill="background1"/>
                  <w:noWrap/>
                  <w:vAlign w:val="bottom"/>
                  <w:hideMark/>
                </w:tcPr>
                <w:p w14:paraId="4B418F07"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1,80</w:t>
                  </w:r>
                </w:p>
              </w:tc>
              <w:tc>
                <w:tcPr>
                  <w:tcW w:w="384" w:type="pct"/>
                  <w:tcBorders>
                    <w:top w:val="nil"/>
                    <w:left w:val="nil"/>
                    <w:bottom w:val="nil"/>
                    <w:right w:val="nil"/>
                  </w:tcBorders>
                  <w:shd w:val="clear" w:color="auto" w:fill="FFFFFF" w:themeFill="background1"/>
                  <w:noWrap/>
                  <w:vAlign w:val="bottom"/>
                  <w:hideMark/>
                </w:tcPr>
                <w:p w14:paraId="2D18D88F"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6,90</w:t>
                  </w:r>
                </w:p>
              </w:tc>
              <w:tc>
                <w:tcPr>
                  <w:tcW w:w="359" w:type="pct"/>
                  <w:tcBorders>
                    <w:top w:val="nil"/>
                    <w:left w:val="nil"/>
                    <w:bottom w:val="nil"/>
                    <w:right w:val="nil"/>
                  </w:tcBorders>
                  <w:shd w:val="clear" w:color="auto" w:fill="FFFFFF" w:themeFill="background1"/>
                  <w:noWrap/>
                  <w:vAlign w:val="bottom"/>
                  <w:hideMark/>
                </w:tcPr>
                <w:p w14:paraId="2D38B7B3"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6,95</w:t>
                  </w:r>
                </w:p>
              </w:tc>
              <w:tc>
                <w:tcPr>
                  <w:tcW w:w="352" w:type="pct"/>
                  <w:tcBorders>
                    <w:top w:val="nil"/>
                    <w:left w:val="nil"/>
                    <w:bottom w:val="nil"/>
                    <w:right w:val="nil"/>
                  </w:tcBorders>
                  <w:shd w:val="clear" w:color="auto" w:fill="FFFFFF" w:themeFill="background1"/>
                  <w:noWrap/>
                  <w:vAlign w:val="bottom"/>
                  <w:hideMark/>
                </w:tcPr>
                <w:p w14:paraId="73EC0805"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10,39</w:t>
                  </w:r>
                </w:p>
              </w:tc>
              <w:tc>
                <w:tcPr>
                  <w:tcW w:w="339" w:type="pct"/>
                  <w:tcBorders>
                    <w:top w:val="nil"/>
                    <w:left w:val="nil"/>
                    <w:bottom w:val="nil"/>
                    <w:right w:val="nil"/>
                  </w:tcBorders>
                  <w:shd w:val="clear" w:color="auto" w:fill="FFFFFF" w:themeFill="background1"/>
                  <w:noWrap/>
                  <w:vAlign w:val="bottom"/>
                  <w:hideMark/>
                </w:tcPr>
                <w:p w14:paraId="40FC9849"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1,93</w:t>
                  </w:r>
                </w:p>
              </w:tc>
              <w:tc>
                <w:tcPr>
                  <w:tcW w:w="321" w:type="pct"/>
                  <w:tcBorders>
                    <w:top w:val="nil"/>
                    <w:left w:val="nil"/>
                    <w:bottom w:val="nil"/>
                    <w:right w:val="nil"/>
                  </w:tcBorders>
                  <w:shd w:val="clear" w:color="auto" w:fill="FFFFFF" w:themeFill="background1"/>
                  <w:noWrap/>
                  <w:vAlign w:val="bottom"/>
                  <w:hideMark/>
                </w:tcPr>
                <w:p w14:paraId="356AF4B9"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2,27</w:t>
                  </w:r>
                </w:p>
              </w:tc>
            </w:tr>
            <w:tr w:rsidR="00DB2C4F" w:rsidRPr="00DB2C4F" w14:paraId="66944F55" w14:textId="77777777" w:rsidTr="00EF4AE2">
              <w:trPr>
                <w:trHeight w:val="300"/>
              </w:trPr>
              <w:tc>
                <w:tcPr>
                  <w:tcW w:w="793" w:type="pct"/>
                  <w:gridSpan w:val="2"/>
                  <w:tcBorders>
                    <w:top w:val="nil"/>
                    <w:left w:val="nil"/>
                    <w:bottom w:val="nil"/>
                    <w:right w:val="nil"/>
                  </w:tcBorders>
                  <w:shd w:val="clear" w:color="auto" w:fill="FFFFFF" w:themeFill="background1"/>
                  <w:noWrap/>
                  <w:vAlign w:val="bottom"/>
                  <w:hideMark/>
                </w:tcPr>
                <w:p w14:paraId="702C0B01" w14:textId="77777777" w:rsidR="00EF4AE2" w:rsidRPr="00EF4AE2" w:rsidRDefault="00EF4AE2" w:rsidP="00EF4AE2">
                  <w:pPr>
                    <w:spacing w:after="0" w:line="240" w:lineRule="auto"/>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Consumer Goods</w:t>
                  </w:r>
                </w:p>
              </w:tc>
              <w:tc>
                <w:tcPr>
                  <w:tcW w:w="384" w:type="pct"/>
                  <w:tcBorders>
                    <w:top w:val="nil"/>
                    <w:left w:val="nil"/>
                    <w:bottom w:val="nil"/>
                    <w:right w:val="nil"/>
                  </w:tcBorders>
                  <w:shd w:val="clear" w:color="auto" w:fill="FFFFFF" w:themeFill="background1"/>
                  <w:noWrap/>
                  <w:vAlign w:val="bottom"/>
                  <w:hideMark/>
                </w:tcPr>
                <w:p w14:paraId="64AF227E"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14,04</w:t>
                  </w:r>
                </w:p>
              </w:tc>
              <w:tc>
                <w:tcPr>
                  <w:tcW w:w="384" w:type="pct"/>
                  <w:tcBorders>
                    <w:top w:val="nil"/>
                    <w:left w:val="nil"/>
                    <w:bottom w:val="nil"/>
                    <w:right w:val="nil"/>
                  </w:tcBorders>
                  <w:shd w:val="clear" w:color="auto" w:fill="FFFFFF" w:themeFill="background1"/>
                  <w:noWrap/>
                  <w:vAlign w:val="bottom"/>
                  <w:hideMark/>
                </w:tcPr>
                <w:p w14:paraId="2DCB22CD"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15,99</w:t>
                  </w:r>
                </w:p>
              </w:tc>
              <w:tc>
                <w:tcPr>
                  <w:tcW w:w="505" w:type="pct"/>
                  <w:tcBorders>
                    <w:top w:val="nil"/>
                    <w:left w:val="nil"/>
                    <w:bottom w:val="nil"/>
                    <w:right w:val="nil"/>
                  </w:tcBorders>
                  <w:shd w:val="clear" w:color="auto" w:fill="FFFFFF" w:themeFill="background1"/>
                  <w:noWrap/>
                  <w:vAlign w:val="bottom"/>
                  <w:hideMark/>
                </w:tcPr>
                <w:p w14:paraId="6502E2F2"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14,33</w:t>
                  </w:r>
                </w:p>
              </w:tc>
              <w:tc>
                <w:tcPr>
                  <w:tcW w:w="384" w:type="pct"/>
                  <w:tcBorders>
                    <w:top w:val="nil"/>
                    <w:left w:val="nil"/>
                    <w:bottom w:val="nil"/>
                    <w:right w:val="nil"/>
                  </w:tcBorders>
                  <w:shd w:val="clear" w:color="auto" w:fill="FFFFFF" w:themeFill="background1"/>
                  <w:noWrap/>
                  <w:vAlign w:val="bottom"/>
                  <w:hideMark/>
                </w:tcPr>
                <w:p w14:paraId="3AC93AE7"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15,62</w:t>
                  </w:r>
                </w:p>
              </w:tc>
              <w:tc>
                <w:tcPr>
                  <w:tcW w:w="410" w:type="pct"/>
                  <w:tcBorders>
                    <w:top w:val="nil"/>
                    <w:left w:val="nil"/>
                    <w:bottom w:val="nil"/>
                    <w:right w:val="nil"/>
                  </w:tcBorders>
                  <w:shd w:val="clear" w:color="auto" w:fill="FFFFFF" w:themeFill="background1"/>
                  <w:noWrap/>
                  <w:vAlign w:val="bottom"/>
                  <w:hideMark/>
                </w:tcPr>
                <w:p w14:paraId="54E5735A"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2,40</w:t>
                  </w:r>
                </w:p>
              </w:tc>
              <w:tc>
                <w:tcPr>
                  <w:tcW w:w="384" w:type="pct"/>
                  <w:tcBorders>
                    <w:top w:val="nil"/>
                    <w:left w:val="nil"/>
                    <w:bottom w:val="nil"/>
                    <w:right w:val="nil"/>
                  </w:tcBorders>
                  <w:shd w:val="clear" w:color="auto" w:fill="FFFFFF" w:themeFill="background1"/>
                  <w:noWrap/>
                  <w:vAlign w:val="bottom"/>
                  <w:hideMark/>
                </w:tcPr>
                <w:p w14:paraId="01872FD2"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1,81</w:t>
                  </w:r>
                </w:p>
              </w:tc>
              <w:tc>
                <w:tcPr>
                  <w:tcW w:w="384" w:type="pct"/>
                  <w:tcBorders>
                    <w:top w:val="nil"/>
                    <w:left w:val="nil"/>
                    <w:bottom w:val="nil"/>
                    <w:right w:val="nil"/>
                  </w:tcBorders>
                  <w:shd w:val="clear" w:color="auto" w:fill="FFFFFF" w:themeFill="background1"/>
                  <w:noWrap/>
                  <w:vAlign w:val="bottom"/>
                  <w:hideMark/>
                </w:tcPr>
                <w:p w14:paraId="3A4242E3"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14,00</w:t>
                  </w:r>
                </w:p>
              </w:tc>
              <w:tc>
                <w:tcPr>
                  <w:tcW w:w="359" w:type="pct"/>
                  <w:tcBorders>
                    <w:top w:val="nil"/>
                    <w:left w:val="nil"/>
                    <w:bottom w:val="nil"/>
                    <w:right w:val="nil"/>
                  </w:tcBorders>
                  <w:shd w:val="clear" w:color="auto" w:fill="FFFFFF" w:themeFill="background1"/>
                  <w:noWrap/>
                  <w:vAlign w:val="bottom"/>
                  <w:hideMark/>
                </w:tcPr>
                <w:p w14:paraId="1B0CCFC4"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12,03</w:t>
                  </w:r>
                </w:p>
              </w:tc>
              <w:tc>
                <w:tcPr>
                  <w:tcW w:w="352" w:type="pct"/>
                  <w:tcBorders>
                    <w:top w:val="nil"/>
                    <w:left w:val="nil"/>
                    <w:bottom w:val="nil"/>
                    <w:right w:val="nil"/>
                  </w:tcBorders>
                  <w:shd w:val="clear" w:color="auto" w:fill="FFFFFF" w:themeFill="background1"/>
                  <w:noWrap/>
                  <w:vAlign w:val="bottom"/>
                  <w:hideMark/>
                </w:tcPr>
                <w:p w14:paraId="558B5437"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14,94</w:t>
                  </w:r>
                </w:p>
              </w:tc>
              <w:tc>
                <w:tcPr>
                  <w:tcW w:w="339" w:type="pct"/>
                  <w:tcBorders>
                    <w:top w:val="nil"/>
                    <w:left w:val="nil"/>
                    <w:bottom w:val="nil"/>
                    <w:right w:val="nil"/>
                  </w:tcBorders>
                  <w:shd w:val="clear" w:color="auto" w:fill="FFFFFF" w:themeFill="background1"/>
                  <w:noWrap/>
                  <w:vAlign w:val="bottom"/>
                  <w:hideMark/>
                </w:tcPr>
                <w:p w14:paraId="5D2A9CCB"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2,68</w:t>
                  </w:r>
                </w:p>
              </w:tc>
              <w:tc>
                <w:tcPr>
                  <w:tcW w:w="321" w:type="pct"/>
                  <w:tcBorders>
                    <w:top w:val="nil"/>
                    <w:left w:val="nil"/>
                    <w:bottom w:val="nil"/>
                    <w:right w:val="nil"/>
                  </w:tcBorders>
                  <w:shd w:val="clear" w:color="auto" w:fill="FFFFFF" w:themeFill="background1"/>
                  <w:noWrap/>
                  <w:vAlign w:val="bottom"/>
                  <w:hideMark/>
                </w:tcPr>
                <w:p w14:paraId="46CDF748"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3,55</w:t>
                  </w:r>
                </w:p>
              </w:tc>
            </w:tr>
            <w:tr w:rsidR="00DB2C4F" w:rsidRPr="00DB2C4F" w14:paraId="20FCC4B9" w14:textId="77777777" w:rsidTr="00EF4AE2">
              <w:trPr>
                <w:trHeight w:val="300"/>
              </w:trPr>
              <w:tc>
                <w:tcPr>
                  <w:tcW w:w="793" w:type="pct"/>
                  <w:gridSpan w:val="2"/>
                  <w:tcBorders>
                    <w:top w:val="nil"/>
                    <w:left w:val="nil"/>
                    <w:bottom w:val="nil"/>
                    <w:right w:val="nil"/>
                  </w:tcBorders>
                  <w:shd w:val="clear" w:color="auto" w:fill="FFFFFF" w:themeFill="background1"/>
                  <w:noWrap/>
                  <w:vAlign w:val="bottom"/>
                  <w:hideMark/>
                </w:tcPr>
                <w:p w14:paraId="62B46956" w14:textId="77777777" w:rsidR="00EF4AE2" w:rsidRPr="00EF4AE2" w:rsidRDefault="00EF4AE2" w:rsidP="00EF4AE2">
                  <w:pPr>
                    <w:spacing w:after="0" w:line="240" w:lineRule="auto"/>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Industrials</w:t>
                  </w:r>
                </w:p>
              </w:tc>
              <w:tc>
                <w:tcPr>
                  <w:tcW w:w="384" w:type="pct"/>
                  <w:tcBorders>
                    <w:top w:val="nil"/>
                    <w:left w:val="nil"/>
                    <w:bottom w:val="nil"/>
                    <w:right w:val="nil"/>
                  </w:tcBorders>
                  <w:shd w:val="clear" w:color="auto" w:fill="FFFFFF" w:themeFill="background1"/>
                  <w:noWrap/>
                  <w:vAlign w:val="bottom"/>
                  <w:hideMark/>
                </w:tcPr>
                <w:p w14:paraId="3E39F2F1"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10,89</w:t>
                  </w:r>
                </w:p>
              </w:tc>
              <w:tc>
                <w:tcPr>
                  <w:tcW w:w="384" w:type="pct"/>
                  <w:tcBorders>
                    <w:top w:val="nil"/>
                    <w:left w:val="nil"/>
                    <w:bottom w:val="nil"/>
                    <w:right w:val="nil"/>
                  </w:tcBorders>
                  <w:shd w:val="clear" w:color="auto" w:fill="FFFFFF" w:themeFill="background1"/>
                  <w:noWrap/>
                  <w:vAlign w:val="bottom"/>
                  <w:hideMark/>
                </w:tcPr>
                <w:p w14:paraId="5029D434"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10,86</w:t>
                  </w:r>
                </w:p>
              </w:tc>
              <w:tc>
                <w:tcPr>
                  <w:tcW w:w="505" w:type="pct"/>
                  <w:tcBorders>
                    <w:top w:val="nil"/>
                    <w:left w:val="nil"/>
                    <w:bottom w:val="nil"/>
                    <w:right w:val="nil"/>
                  </w:tcBorders>
                  <w:shd w:val="clear" w:color="auto" w:fill="FFFFFF" w:themeFill="background1"/>
                  <w:noWrap/>
                  <w:vAlign w:val="bottom"/>
                  <w:hideMark/>
                </w:tcPr>
                <w:p w14:paraId="6FBEA1C2"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9,15</w:t>
                  </w:r>
                </w:p>
              </w:tc>
              <w:tc>
                <w:tcPr>
                  <w:tcW w:w="384" w:type="pct"/>
                  <w:tcBorders>
                    <w:top w:val="nil"/>
                    <w:left w:val="nil"/>
                    <w:bottom w:val="nil"/>
                    <w:right w:val="nil"/>
                  </w:tcBorders>
                  <w:shd w:val="clear" w:color="auto" w:fill="FFFFFF" w:themeFill="background1"/>
                  <w:noWrap/>
                  <w:vAlign w:val="bottom"/>
                  <w:hideMark/>
                </w:tcPr>
                <w:p w14:paraId="7F508BA1"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10,48</w:t>
                  </w:r>
                </w:p>
              </w:tc>
              <w:tc>
                <w:tcPr>
                  <w:tcW w:w="410" w:type="pct"/>
                  <w:tcBorders>
                    <w:top w:val="nil"/>
                    <w:left w:val="nil"/>
                    <w:bottom w:val="nil"/>
                    <w:right w:val="nil"/>
                  </w:tcBorders>
                  <w:shd w:val="clear" w:color="auto" w:fill="FFFFFF" w:themeFill="background1"/>
                  <w:noWrap/>
                  <w:vAlign w:val="bottom"/>
                  <w:hideMark/>
                </w:tcPr>
                <w:p w14:paraId="50099EF1"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0,73</w:t>
                  </w:r>
                </w:p>
              </w:tc>
              <w:tc>
                <w:tcPr>
                  <w:tcW w:w="384" w:type="pct"/>
                  <w:tcBorders>
                    <w:top w:val="nil"/>
                    <w:left w:val="nil"/>
                    <w:bottom w:val="nil"/>
                    <w:right w:val="nil"/>
                  </w:tcBorders>
                  <w:shd w:val="clear" w:color="auto" w:fill="FFFFFF" w:themeFill="background1"/>
                  <w:noWrap/>
                  <w:vAlign w:val="bottom"/>
                  <w:hideMark/>
                </w:tcPr>
                <w:p w14:paraId="1C235C58"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1,24</w:t>
                  </w:r>
                </w:p>
              </w:tc>
              <w:tc>
                <w:tcPr>
                  <w:tcW w:w="384" w:type="pct"/>
                  <w:tcBorders>
                    <w:top w:val="nil"/>
                    <w:left w:val="nil"/>
                    <w:bottom w:val="nil"/>
                    <w:right w:val="nil"/>
                  </w:tcBorders>
                  <w:shd w:val="clear" w:color="auto" w:fill="FFFFFF" w:themeFill="background1"/>
                  <w:noWrap/>
                  <w:vAlign w:val="bottom"/>
                  <w:hideMark/>
                </w:tcPr>
                <w:p w14:paraId="139A58D0"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11,75</w:t>
                  </w:r>
                </w:p>
              </w:tc>
              <w:tc>
                <w:tcPr>
                  <w:tcW w:w="359" w:type="pct"/>
                  <w:tcBorders>
                    <w:top w:val="nil"/>
                    <w:left w:val="nil"/>
                    <w:bottom w:val="nil"/>
                    <w:right w:val="nil"/>
                  </w:tcBorders>
                  <w:shd w:val="clear" w:color="auto" w:fill="FFFFFF" w:themeFill="background1"/>
                  <w:noWrap/>
                  <w:vAlign w:val="bottom"/>
                  <w:hideMark/>
                </w:tcPr>
                <w:p w14:paraId="234DE9EC"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8,28</w:t>
                  </w:r>
                </w:p>
              </w:tc>
              <w:tc>
                <w:tcPr>
                  <w:tcW w:w="352" w:type="pct"/>
                  <w:tcBorders>
                    <w:top w:val="nil"/>
                    <w:left w:val="nil"/>
                    <w:bottom w:val="nil"/>
                    <w:right w:val="nil"/>
                  </w:tcBorders>
                  <w:shd w:val="clear" w:color="auto" w:fill="FFFFFF" w:themeFill="background1"/>
                  <w:noWrap/>
                  <w:vAlign w:val="bottom"/>
                  <w:hideMark/>
                </w:tcPr>
                <w:p w14:paraId="7F13CBB6"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12,05</w:t>
                  </w:r>
                </w:p>
              </w:tc>
              <w:tc>
                <w:tcPr>
                  <w:tcW w:w="339" w:type="pct"/>
                  <w:tcBorders>
                    <w:top w:val="nil"/>
                    <w:left w:val="nil"/>
                    <w:bottom w:val="nil"/>
                    <w:right w:val="nil"/>
                  </w:tcBorders>
                  <w:shd w:val="clear" w:color="auto" w:fill="FFFFFF" w:themeFill="background1"/>
                  <w:noWrap/>
                  <w:vAlign w:val="bottom"/>
                  <w:hideMark/>
                </w:tcPr>
                <w:p w14:paraId="357B022C"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0,88</w:t>
                  </w:r>
                </w:p>
              </w:tc>
              <w:tc>
                <w:tcPr>
                  <w:tcW w:w="321" w:type="pct"/>
                  <w:tcBorders>
                    <w:top w:val="nil"/>
                    <w:left w:val="nil"/>
                    <w:bottom w:val="nil"/>
                    <w:right w:val="nil"/>
                  </w:tcBorders>
                  <w:shd w:val="clear" w:color="auto" w:fill="FFFFFF" w:themeFill="background1"/>
                  <w:noWrap/>
                  <w:vAlign w:val="bottom"/>
                  <w:hideMark/>
                </w:tcPr>
                <w:p w14:paraId="4B0F31F8"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3,01</w:t>
                  </w:r>
                </w:p>
              </w:tc>
            </w:tr>
            <w:tr w:rsidR="00DB2C4F" w:rsidRPr="00DB2C4F" w14:paraId="5F003F03" w14:textId="77777777" w:rsidTr="00EF4AE2">
              <w:trPr>
                <w:trHeight w:val="300"/>
              </w:trPr>
              <w:tc>
                <w:tcPr>
                  <w:tcW w:w="793" w:type="pct"/>
                  <w:gridSpan w:val="2"/>
                  <w:tcBorders>
                    <w:top w:val="nil"/>
                    <w:left w:val="nil"/>
                    <w:bottom w:val="nil"/>
                    <w:right w:val="nil"/>
                  </w:tcBorders>
                  <w:shd w:val="clear" w:color="auto" w:fill="FFFFFF" w:themeFill="background1"/>
                  <w:noWrap/>
                  <w:vAlign w:val="bottom"/>
                  <w:hideMark/>
                </w:tcPr>
                <w:p w14:paraId="1C13A794" w14:textId="77777777" w:rsidR="00EF4AE2" w:rsidRPr="00EF4AE2" w:rsidRDefault="00EF4AE2" w:rsidP="00EF4AE2">
                  <w:pPr>
                    <w:spacing w:after="0" w:line="240" w:lineRule="auto"/>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Telecommunications</w:t>
                  </w:r>
                </w:p>
              </w:tc>
              <w:tc>
                <w:tcPr>
                  <w:tcW w:w="384" w:type="pct"/>
                  <w:tcBorders>
                    <w:top w:val="nil"/>
                    <w:left w:val="nil"/>
                    <w:bottom w:val="nil"/>
                    <w:right w:val="nil"/>
                  </w:tcBorders>
                  <w:shd w:val="clear" w:color="auto" w:fill="FFFFFF" w:themeFill="background1"/>
                  <w:noWrap/>
                  <w:vAlign w:val="bottom"/>
                  <w:hideMark/>
                </w:tcPr>
                <w:p w14:paraId="39109F59"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17,21</w:t>
                  </w:r>
                </w:p>
              </w:tc>
              <w:tc>
                <w:tcPr>
                  <w:tcW w:w="384" w:type="pct"/>
                  <w:tcBorders>
                    <w:top w:val="nil"/>
                    <w:left w:val="nil"/>
                    <w:bottom w:val="nil"/>
                    <w:right w:val="nil"/>
                  </w:tcBorders>
                  <w:shd w:val="clear" w:color="auto" w:fill="FFFFFF" w:themeFill="background1"/>
                  <w:noWrap/>
                  <w:vAlign w:val="bottom"/>
                  <w:hideMark/>
                </w:tcPr>
                <w:p w14:paraId="4DBDF737"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12,39</w:t>
                  </w:r>
                </w:p>
              </w:tc>
              <w:tc>
                <w:tcPr>
                  <w:tcW w:w="505" w:type="pct"/>
                  <w:tcBorders>
                    <w:top w:val="nil"/>
                    <w:left w:val="nil"/>
                    <w:bottom w:val="nil"/>
                    <w:right w:val="nil"/>
                  </w:tcBorders>
                  <w:shd w:val="clear" w:color="auto" w:fill="FFFFFF" w:themeFill="background1"/>
                  <w:noWrap/>
                  <w:vAlign w:val="bottom"/>
                  <w:hideMark/>
                </w:tcPr>
                <w:p w14:paraId="0BC1E9AD"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10,82</w:t>
                  </w:r>
                </w:p>
              </w:tc>
              <w:tc>
                <w:tcPr>
                  <w:tcW w:w="384" w:type="pct"/>
                  <w:tcBorders>
                    <w:top w:val="nil"/>
                    <w:left w:val="nil"/>
                    <w:bottom w:val="nil"/>
                    <w:right w:val="nil"/>
                  </w:tcBorders>
                  <w:shd w:val="clear" w:color="auto" w:fill="FFFFFF" w:themeFill="background1"/>
                  <w:noWrap/>
                  <w:vAlign w:val="bottom"/>
                  <w:hideMark/>
                </w:tcPr>
                <w:p w14:paraId="292E4C85"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12,04</w:t>
                  </w:r>
                </w:p>
              </w:tc>
              <w:tc>
                <w:tcPr>
                  <w:tcW w:w="410" w:type="pct"/>
                  <w:tcBorders>
                    <w:top w:val="nil"/>
                    <w:left w:val="nil"/>
                    <w:bottom w:val="nil"/>
                    <w:right w:val="nil"/>
                  </w:tcBorders>
                  <w:shd w:val="clear" w:color="auto" w:fill="FFFFFF" w:themeFill="background1"/>
                  <w:noWrap/>
                  <w:vAlign w:val="bottom"/>
                  <w:hideMark/>
                </w:tcPr>
                <w:p w14:paraId="703A4668"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1,33</w:t>
                  </w:r>
                </w:p>
              </w:tc>
              <w:tc>
                <w:tcPr>
                  <w:tcW w:w="384" w:type="pct"/>
                  <w:tcBorders>
                    <w:top w:val="nil"/>
                    <w:left w:val="nil"/>
                    <w:bottom w:val="nil"/>
                    <w:right w:val="nil"/>
                  </w:tcBorders>
                  <w:shd w:val="clear" w:color="auto" w:fill="FFFFFF" w:themeFill="background1"/>
                  <w:noWrap/>
                  <w:vAlign w:val="bottom"/>
                  <w:hideMark/>
                </w:tcPr>
                <w:p w14:paraId="06ABF78D"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2,06</w:t>
                  </w:r>
                </w:p>
              </w:tc>
              <w:tc>
                <w:tcPr>
                  <w:tcW w:w="384" w:type="pct"/>
                  <w:tcBorders>
                    <w:top w:val="nil"/>
                    <w:left w:val="nil"/>
                    <w:bottom w:val="nil"/>
                    <w:right w:val="nil"/>
                  </w:tcBorders>
                  <w:shd w:val="clear" w:color="auto" w:fill="FFFFFF" w:themeFill="background1"/>
                  <w:noWrap/>
                  <w:vAlign w:val="bottom"/>
                  <w:hideMark/>
                </w:tcPr>
                <w:p w14:paraId="0E4481C4"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5,99</w:t>
                  </w:r>
                </w:p>
              </w:tc>
              <w:tc>
                <w:tcPr>
                  <w:tcW w:w="359" w:type="pct"/>
                  <w:tcBorders>
                    <w:top w:val="nil"/>
                    <w:left w:val="nil"/>
                    <w:bottom w:val="nil"/>
                    <w:right w:val="nil"/>
                  </w:tcBorders>
                  <w:shd w:val="clear" w:color="auto" w:fill="FFFFFF" w:themeFill="background1"/>
                  <w:noWrap/>
                  <w:vAlign w:val="bottom"/>
                  <w:hideMark/>
                </w:tcPr>
                <w:p w14:paraId="7532EFC0"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4,96</w:t>
                  </w:r>
                </w:p>
              </w:tc>
              <w:tc>
                <w:tcPr>
                  <w:tcW w:w="352" w:type="pct"/>
                  <w:tcBorders>
                    <w:top w:val="nil"/>
                    <w:left w:val="nil"/>
                    <w:bottom w:val="nil"/>
                    <w:right w:val="nil"/>
                  </w:tcBorders>
                  <w:shd w:val="clear" w:color="auto" w:fill="FFFFFF" w:themeFill="background1"/>
                  <w:noWrap/>
                  <w:vAlign w:val="bottom"/>
                  <w:hideMark/>
                </w:tcPr>
                <w:p w14:paraId="3E2497C1"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8,69</w:t>
                  </w:r>
                </w:p>
              </w:tc>
              <w:tc>
                <w:tcPr>
                  <w:tcW w:w="339" w:type="pct"/>
                  <w:tcBorders>
                    <w:top w:val="nil"/>
                    <w:left w:val="nil"/>
                    <w:bottom w:val="nil"/>
                    <w:right w:val="nil"/>
                  </w:tcBorders>
                  <w:shd w:val="clear" w:color="auto" w:fill="FFFFFF" w:themeFill="background1"/>
                  <w:noWrap/>
                  <w:vAlign w:val="bottom"/>
                  <w:hideMark/>
                </w:tcPr>
                <w:p w14:paraId="1CDE9C76"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1,75</w:t>
                  </w:r>
                </w:p>
              </w:tc>
              <w:tc>
                <w:tcPr>
                  <w:tcW w:w="321" w:type="pct"/>
                  <w:tcBorders>
                    <w:top w:val="nil"/>
                    <w:left w:val="nil"/>
                    <w:bottom w:val="nil"/>
                    <w:right w:val="nil"/>
                  </w:tcBorders>
                  <w:shd w:val="clear" w:color="auto" w:fill="FFFFFF" w:themeFill="background1"/>
                  <w:noWrap/>
                  <w:vAlign w:val="bottom"/>
                  <w:hideMark/>
                </w:tcPr>
                <w:p w14:paraId="23250A13"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6,41</w:t>
                  </w:r>
                </w:p>
              </w:tc>
            </w:tr>
            <w:tr w:rsidR="00DB2C4F" w:rsidRPr="00DB2C4F" w14:paraId="6FD49851" w14:textId="77777777" w:rsidTr="00EF4AE2">
              <w:trPr>
                <w:trHeight w:val="300"/>
              </w:trPr>
              <w:tc>
                <w:tcPr>
                  <w:tcW w:w="793" w:type="pct"/>
                  <w:gridSpan w:val="2"/>
                  <w:tcBorders>
                    <w:top w:val="nil"/>
                    <w:left w:val="nil"/>
                    <w:bottom w:val="nil"/>
                    <w:right w:val="nil"/>
                  </w:tcBorders>
                  <w:shd w:val="clear" w:color="auto" w:fill="FFFFFF" w:themeFill="background1"/>
                  <w:noWrap/>
                  <w:vAlign w:val="bottom"/>
                  <w:hideMark/>
                </w:tcPr>
                <w:p w14:paraId="277E3434" w14:textId="77777777" w:rsidR="00EF4AE2" w:rsidRPr="00EF4AE2" w:rsidRDefault="00EF4AE2" w:rsidP="00EF4AE2">
                  <w:pPr>
                    <w:spacing w:after="0" w:line="240" w:lineRule="auto"/>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Health Care</w:t>
                  </w:r>
                </w:p>
              </w:tc>
              <w:tc>
                <w:tcPr>
                  <w:tcW w:w="384" w:type="pct"/>
                  <w:tcBorders>
                    <w:top w:val="nil"/>
                    <w:left w:val="nil"/>
                    <w:bottom w:val="nil"/>
                    <w:right w:val="nil"/>
                  </w:tcBorders>
                  <w:shd w:val="clear" w:color="auto" w:fill="FFFFFF" w:themeFill="background1"/>
                  <w:noWrap/>
                  <w:vAlign w:val="bottom"/>
                  <w:hideMark/>
                </w:tcPr>
                <w:p w14:paraId="2FA567C3"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14,93</w:t>
                  </w:r>
                </w:p>
              </w:tc>
              <w:tc>
                <w:tcPr>
                  <w:tcW w:w="384" w:type="pct"/>
                  <w:tcBorders>
                    <w:top w:val="nil"/>
                    <w:left w:val="nil"/>
                    <w:bottom w:val="nil"/>
                    <w:right w:val="nil"/>
                  </w:tcBorders>
                  <w:shd w:val="clear" w:color="auto" w:fill="FFFFFF" w:themeFill="background1"/>
                  <w:noWrap/>
                  <w:vAlign w:val="bottom"/>
                  <w:hideMark/>
                </w:tcPr>
                <w:p w14:paraId="778A7881"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10,36</w:t>
                  </w:r>
                </w:p>
              </w:tc>
              <w:tc>
                <w:tcPr>
                  <w:tcW w:w="505" w:type="pct"/>
                  <w:tcBorders>
                    <w:top w:val="nil"/>
                    <w:left w:val="nil"/>
                    <w:bottom w:val="nil"/>
                    <w:right w:val="nil"/>
                  </w:tcBorders>
                  <w:shd w:val="clear" w:color="auto" w:fill="FFFFFF" w:themeFill="background1"/>
                  <w:noWrap/>
                  <w:vAlign w:val="bottom"/>
                  <w:hideMark/>
                </w:tcPr>
                <w:p w14:paraId="163DF6CF"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9,29</w:t>
                  </w:r>
                </w:p>
              </w:tc>
              <w:tc>
                <w:tcPr>
                  <w:tcW w:w="384" w:type="pct"/>
                  <w:tcBorders>
                    <w:top w:val="nil"/>
                    <w:left w:val="nil"/>
                    <w:bottom w:val="nil"/>
                    <w:right w:val="nil"/>
                  </w:tcBorders>
                  <w:shd w:val="clear" w:color="auto" w:fill="FFFFFF" w:themeFill="background1"/>
                  <w:noWrap/>
                  <w:vAlign w:val="bottom"/>
                  <w:hideMark/>
                </w:tcPr>
                <w:p w14:paraId="6232261C"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10,12</w:t>
                  </w:r>
                </w:p>
              </w:tc>
              <w:tc>
                <w:tcPr>
                  <w:tcW w:w="410" w:type="pct"/>
                  <w:tcBorders>
                    <w:top w:val="nil"/>
                    <w:left w:val="nil"/>
                    <w:bottom w:val="nil"/>
                    <w:right w:val="nil"/>
                  </w:tcBorders>
                  <w:shd w:val="clear" w:color="auto" w:fill="FFFFFF" w:themeFill="background1"/>
                  <w:noWrap/>
                  <w:vAlign w:val="bottom"/>
                  <w:hideMark/>
                </w:tcPr>
                <w:p w14:paraId="38ECE1E1"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1,24</w:t>
                  </w:r>
                </w:p>
              </w:tc>
              <w:tc>
                <w:tcPr>
                  <w:tcW w:w="384" w:type="pct"/>
                  <w:tcBorders>
                    <w:top w:val="nil"/>
                    <w:left w:val="nil"/>
                    <w:bottom w:val="nil"/>
                    <w:right w:val="nil"/>
                  </w:tcBorders>
                  <w:shd w:val="clear" w:color="auto" w:fill="FFFFFF" w:themeFill="background1"/>
                  <w:noWrap/>
                  <w:vAlign w:val="bottom"/>
                  <w:hideMark/>
                </w:tcPr>
                <w:p w14:paraId="72A2492E"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1,31</w:t>
                  </w:r>
                </w:p>
              </w:tc>
              <w:tc>
                <w:tcPr>
                  <w:tcW w:w="384" w:type="pct"/>
                  <w:tcBorders>
                    <w:top w:val="nil"/>
                    <w:left w:val="nil"/>
                    <w:bottom w:val="nil"/>
                    <w:right w:val="nil"/>
                  </w:tcBorders>
                  <w:shd w:val="clear" w:color="auto" w:fill="FFFFFF" w:themeFill="background1"/>
                  <w:noWrap/>
                  <w:vAlign w:val="bottom"/>
                  <w:hideMark/>
                </w:tcPr>
                <w:p w14:paraId="56DE5EBF"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9,61</w:t>
                  </w:r>
                </w:p>
              </w:tc>
              <w:tc>
                <w:tcPr>
                  <w:tcW w:w="359" w:type="pct"/>
                  <w:tcBorders>
                    <w:top w:val="nil"/>
                    <w:left w:val="nil"/>
                    <w:bottom w:val="nil"/>
                    <w:right w:val="nil"/>
                  </w:tcBorders>
                  <w:shd w:val="clear" w:color="auto" w:fill="FFFFFF" w:themeFill="background1"/>
                  <w:noWrap/>
                  <w:vAlign w:val="bottom"/>
                  <w:hideMark/>
                </w:tcPr>
                <w:p w14:paraId="2BE5BB1A"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9,26</w:t>
                  </w:r>
                </w:p>
              </w:tc>
              <w:tc>
                <w:tcPr>
                  <w:tcW w:w="352" w:type="pct"/>
                  <w:tcBorders>
                    <w:top w:val="nil"/>
                    <w:left w:val="nil"/>
                    <w:bottom w:val="nil"/>
                    <w:right w:val="nil"/>
                  </w:tcBorders>
                  <w:shd w:val="clear" w:color="auto" w:fill="FFFFFF" w:themeFill="background1"/>
                  <w:noWrap/>
                  <w:vAlign w:val="bottom"/>
                  <w:hideMark/>
                </w:tcPr>
                <w:p w14:paraId="274795A2"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11,68</w:t>
                  </w:r>
                </w:p>
              </w:tc>
              <w:tc>
                <w:tcPr>
                  <w:tcW w:w="339" w:type="pct"/>
                  <w:tcBorders>
                    <w:top w:val="nil"/>
                    <w:left w:val="nil"/>
                    <w:bottom w:val="nil"/>
                    <w:right w:val="nil"/>
                  </w:tcBorders>
                  <w:shd w:val="clear" w:color="auto" w:fill="FFFFFF" w:themeFill="background1"/>
                  <w:noWrap/>
                  <w:vAlign w:val="bottom"/>
                  <w:hideMark/>
                </w:tcPr>
                <w:p w14:paraId="004442BE"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2,01</w:t>
                  </w:r>
                </w:p>
              </w:tc>
              <w:tc>
                <w:tcPr>
                  <w:tcW w:w="321" w:type="pct"/>
                  <w:tcBorders>
                    <w:top w:val="nil"/>
                    <w:left w:val="nil"/>
                    <w:bottom w:val="nil"/>
                    <w:right w:val="nil"/>
                  </w:tcBorders>
                  <w:shd w:val="clear" w:color="auto" w:fill="FFFFFF" w:themeFill="background1"/>
                  <w:noWrap/>
                  <w:vAlign w:val="bottom"/>
                  <w:hideMark/>
                </w:tcPr>
                <w:p w14:paraId="55C13329"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3,34</w:t>
                  </w:r>
                </w:p>
              </w:tc>
            </w:tr>
            <w:tr w:rsidR="00DB2C4F" w:rsidRPr="00DB2C4F" w14:paraId="253B2FCF" w14:textId="77777777" w:rsidTr="00EF4AE2">
              <w:trPr>
                <w:trHeight w:val="300"/>
              </w:trPr>
              <w:tc>
                <w:tcPr>
                  <w:tcW w:w="793" w:type="pct"/>
                  <w:gridSpan w:val="2"/>
                  <w:tcBorders>
                    <w:top w:val="nil"/>
                    <w:left w:val="nil"/>
                    <w:bottom w:val="nil"/>
                    <w:right w:val="nil"/>
                  </w:tcBorders>
                  <w:shd w:val="clear" w:color="auto" w:fill="FFFFFF" w:themeFill="background1"/>
                  <w:noWrap/>
                  <w:vAlign w:val="bottom"/>
                  <w:hideMark/>
                </w:tcPr>
                <w:p w14:paraId="49E43D48" w14:textId="77777777" w:rsidR="00EF4AE2" w:rsidRPr="00EF4AE2" w:rsidRDefault="00EF4AE2" w:rsidP="00EF4AE2">
                  <w:pPr>
                    <w:spacing w:after="0" w:line="240" w:lineRule="auto"/>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Technology</w:t>
                  </w:r>
                </w:p>
              </w:tc>
              <w:tc>
                <w:tcPr>
                  <w:tcW w:w="384" w:type="pct"/>
                  <w:tcBorders>
                    <w:top w:val="nil"/>
                    <w:left w:val="nil"/>
                    <w:bottom w:val="nil"/>
                    <w:right w:val="nil"/>
                  </w:tcBorders>
                  <w:shd w:val="clear" w:color="auto" w:fill="FFFFFF" w:themeFill="background1"/>
                  <w:noWrap/>
                  <w:vAlign w:val="bottom"/>
                  <w:hideMark/>
                </w:tcPr>
                <w:p w14:paraId="540FD5B0"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15,47</w:t>
                  </w:r>
                </w:p>
              </w:tc>
              <w:tc>
                <w:tcPr>
                  <w:tcW w:w="384" w:type="pct"/>
                  <w:tcBorders>
                    <w:top w:val="nil"/>
                    <w:left w:val="nil"/>
                    <w:bottom w:val="nil"/>
                    <w:right w:val="nil"/>
                  </w:tcBorders>
                  <w:shd w:val="clear" w:color="auto" w:fill="FFFFFF" w:themeFill="background1"/>
                  <w:noWrap/>
                  <w:vAlign w:val="bottom"/>
                  <w:hideMark/>
                </w:tcPr>
                <w:p w14:paraId="7E85954E"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25,92</w:t>
                  </w:r>
                </w:p>
              </w:tc>
              <w:tc>
                <w:tcPr>
                  <w:tcW w:w="505" w:type="pct"/>
                  <w:tcBorders>
                    <w:top w:val="nil"/>
                    <w:left w:val="nil"/>
                    <w:bottom w:val="nil"/>
                    <w:right w:val="nil"/>
                  </w:tcBorders>
                  <w:shd w:val="clear" w:color="auto" w:fill="FFFFFF" w:themeFill="background1"/>
                  <w:noWrap/>
                  <w:vAlign w:val="bottom"/>
                  <w:hideMark/>
                </w:tcPr>
                <w:p w14:paraId="65BDBF67"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19,24</w:t>
                  </w:r>
                </w:p>
              </w:tc>
              <w:tc>
                <w:tcPr>
                  <w:tcW w:w="384" w:type="pct"/>
                  <w:tcBorders>
                    <w:top w:val="nil"/>
                    <w:left w:val="nil"/>
                    <w:bottom w:val="nil"/>
                    <w:right w:val="nil"/>
                  </w:tcBorders>
                  <w:shd w:val="clear" w:color="auto" w:fill="FFFFFF" w:themeFill="background1"/>
                  <w:noWrap/>
                  <w:vAlign w:val="bottom"/>
                  <w:hideMark/>
                </w:tcPr>
                <w:p w14:paraId="3B64CC2D"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24,44</w:t>
                  </w:r>
                </w:p>
              </w:tc>
              <w:tc>
                <w:tcPr>
                  <w:tcW w:w="410" w:type="pct"/>
                  <w:tcBorders>
                    <w:top w:val="nil"/>
                    <w:left w:val="nil"/>
                    <w:bottom w:val="nil"/>
                    <w:right w:val="nil"/>
                  </w:tcBorders>
                  <w:shd w:val="clear" w:color="auto" w:fill="FFFFFF" w:themeFill="background1"/>
                  <w:noWrap/>
                  <w:vAlign w:val="bottom"/>
                  <w:hideMark/>
                </w:tcPr>
                <w:p w14:paraId="24F9BA8F"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9,06</w:t>
                  </w:r>
                </w:p>
              </w:tc>
              <w:tc>
                <w:tcPr>
                  <w:tcW w:w="384" w:type="pct"/>
                  <w:tcBorders>
                    <w:top w:val="nil"/>
                    <w:left w:val="nil"/>
                    <w:bottom w:val="nil"/>
                    <w:right w:val="nil"/>
                  </w:tcBorders>
                  <w:shd w:val="clear" w:color="auto" w:fill="FFFFFF" w:themeFill="background1"/>
                  <w:noWrap/>
                  <w:vAlign w:val="bottom"/>
                  <w:hideMark/>
                </w:tcPr>
                <w:p w14:paraId="1B76BC1F"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3,67</w:t>
                  </w:r>
                </w:p>
              </w:tc>
              <w:tc>
                <w:tcPr>
                  <w:tcW w:w="384" w:type="pct"/>
                  <w:tcBorders>
                    <w:top w:val="nil"/>
                    <w:left w:val="nil"/>
                    <w:bottom w:val="nil"/>
                    <w:right w:val="nil"/>
                  </w:tcBorders>
                  <w:shd w:val="clear" w:color="auto" w:fill="FFFFFF" w:themeFill="background1"/>
                  <w:noWrap/>
                  <w:vAlign w:val="bottom"/>
                  <w:hideMark/>
                </w:tcPr>
                <w:p w14:paraId="351B9F45"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393,36</w:t>
                  </w:r>
                </w:p>
              </w:tc>
              <w:tc>
                <w:tcPr>
                  <w:tcW w:w="359" w:type="pct"/>
                  <w:tcBorders>
                    <w:top w:val="nil"/>
                    <w:left w:val="nil"/>
                    <w:bottom w:val="nil"/>
                    <w:right w:val="nil"/>
                  </w:tcBorders>
                  <w:shd w:val="clear" w:color="auto" w:fill="FFFFFF" w:themeFill="background1"/>
                  <w:noWrap/>
                  <w:vAlign w:val="bottom"/>
                  <w:hideMark/>
                </w:tcPr>
                <w:p w14:paraId="7FB9E1C5"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216,34</w:t>
                  </w:r>
                </w:p>
              </w:tc>
              <w:tc>
                <w:tcPr>
                  <w:tcW w:w="352" w:type="pct"/>
                  <w:tcBorders>
                    <w:top w:val="nil"/>
                    <w:left w:val="nil"/>
                    <w:bottom w:val="nil"/>
                    <w:right w:val="nil"/>
                  </w:tcBorders>
                  <w:shd w:val="clear" w:color="auto" w:fill="FFFFFF" w:themeFill="background1"/>
                  <w:noWrap/>
                  <w:vAlign w:val="bottom"/>
                  <w:hideMark/>
                </w:tcPr>
                <w:p w14:paraId="19173C41"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2 673,88</w:t>
                  </w:r>
                </w:p>
              </w:tc>
              <w:tc>
                <w:tcPr>
                  <w:tcW w:w="339" w:type="pct"/>
                  <w:tcBorders>
                    <w:top w:val="nil"/>
                    <w:left w:val="nil"/>
                    <w:bottom w:val="nil"/>
                    <w:right w:val="nil"/>
                  </w:tcBorders>
                  <w:shd w:val="clear" w:color="auto" w:fill="FFFFFF" w:themeFill="background1"/>
                  <w:noWrap/>
                  <w:vAlign w:val="bottom"/>
                  <w:hideMark/>
                </w:tcPr>
                <w:p w14:paraId="2B6F3C7E"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8,32</w:t>
                  </w:r>
                </w:p>
              </w:tc>
              <w:tc>
                <w:tcPr>
                  <w:tcW w:w="321" w:type="pct"/>
                  <w:tcBorders>
                    <w:top w:val="nil"/>
                    <w:left w:val="nil"/>
                    <w:bottom w:val="nil"/>
                    <w:right w:val="nil"/>
                  </w:tcBorders>
                  <w:shd w:val="clear" w:color="auto" w:fill="FFFFFF" w:themeFill="background1"/>
                  <w:noWrap/>
                  <w:vAlign w:val="bottom"/>
                  <w:hideMark/>
                </w:tcPr>
                <w:p w14:paraId="65706E0F"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0,21</w:t>
                  </w:r>
                </w:p>
              </w:tc>
            </w:tr>
            <w:tr w:rsidR="00DB2C4F" w:rsidRPr="00DB2C4F" w14:paraId="2983461E" w14:textId="77777777" w:rsidTr="00EF4AE2">
              <w:trPr>
                <w:trHeight w:val="300"/>
              </w:trPr>
              <w:tc>
                <w:tcPr>
                  <w:tcW w:w="320" w:type="pct"/>
                  <w:tcBorders>
                    <w:top w:val="nil"/>
                    <w:left w:val="nil"/>
                    <w:bottom w:val="single" w:sz="4" w:space="0" w:color="auto"/>
                    <w:right w:val="nil"/>
                  </w:tcBorders>
                  <w:shd w:val="clear" w:color="auto" w:fill="FFFFFF" w:themeFill="background1"/>
                  <w:noWrap/>
                  <w:vAlign w:val="bottom"/>
                  <w:hideMark/>
                </w:tcPr>
                <w:p w14:paraId="6AA5E36D" w14:textId="77777777" w:rsidR="00EF4AE2" w:rsidRPr="00EF4AE2" w:rsidRDefault="00EF4AE2" w:rsidP="00EF4AE2">
                  <w:pPr>
                    <w:spacing w:after="0" w:line="240" w:lineRule="auto"/>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Oil &amp; Gas</w:t>
                  </w:r>
                </w:p>
              </w:tc>
              <w:tc>
                <w:tcPr>
                  <w:tcW w:w="473" w:type="pct"/>
                  <w:tcBorders>
                    <w:top w:val="nil"/>
                    <w:left w:val="nil"/>
                    <w:bottom w:val="single" w:sz="4" w:space="0" w:color="auto"/>
                    <w:right w:val="nil"/>
                  </w:tcBorders>
                  <w:shd w:val="clear" w:color="auto" w:fill="FFFFFF" w:themeFill="background1"/>
                  <w:noWrap/>
                  <w:vAlign w:val="bottom"/>
                  <w:hideMark/>
                </w:tcPr>
                <w:p w14:paraId="7912B485" w14:textId="77777777" w:rsidR="00EF4AE2" w:rsidRPr="00EF4AE2" w:rsidRDefault="00EF4AE2" w:rsidP="00EF4AE2">
                  <w:pPr>
                    <w:spacing w:after="0" w:line="240" w:lineRule="auto"/>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 </w:t>
                  </w:r>
                </w:p>
              </w:tc>
              <w:tc>
                <w:tcPr>
                  <w:tcW w:w="384" w:type="pct"/>
                  <w:tcBorders>
                    <w:top w:val="nil"/>
                    <w:left w:val="nil"/>
                    <w:bottom w:val="single" w:sz="4" w:space="0" w:color="auto"/>
                    <w:right w:val="nil"/>
                  </w:tcBorders>
                  <w:shd w:val="clear" w:color="auto" w:fill="FFFFFF" w:themeFill="background1"/>
                  <w:noWrap/>
                  <w:vAlign w:val="bottom"/>
                  <w:hideMark/>
                </w:tcPr>
                <w:p w14:paraId="5DA4500B"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N/A</w:t>
                  </w:r>
                </w:p>
              </w:tc>
              <w:tc>
                <w:tcPr>
                  <w:tcW w:w="384" w:type="pct"/>
                  <w:tcBorders>
                    <w:top w:val="nil"/>
                    <w:left w:val="nil"/>
                    <w:bottom w:val="single" w:sz="4" w:space="0" w:color="auto"/>
                    <w:right w:val="nil"/>
                  </w:tcBorders>
                  <w:shd w:val="clear" w:color="auto" w:fill="FFFFFF" w:themeFill="background1"/>
                  <w:noWrap/>
                  <w:vAlign w:val="bottom"/>
                  <w:hideMark/>
                </w:tcPr>
                <w:p w14:paraId="039FAE69"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N/A</w:t>
                  </w:r>
                </w:p>
              </w:tc>
              <w:tc>
                <w:tcPr>
                  <w:tcW w:w="505" w:type="pct"/>
                  <w:tcBorders>
                    <w:top w:val="nil"/>
                    <w:left w:val="nil"/>
                    <w:bottom w:val="single" w:sz="4" w:space="0" w:color="auto"/>
                    <w:right w:val="nil"/>
                  </w:tcBorders>
                  <w:shd w:val="clear" w:color="auto" w:fill="FFFFFF" w:themeFill="background1"/>
                  <w:noWrap/>
                  <w:vAlign w:val="bottom"/>
                  <w:hideMark/>
                </w:tcPr>
                <w:p w14:paraId="1FF2A1A7"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N/A</w:t>
                  </w:r>
                </w:p>
              </w:tc>
              <w:tc>
                <w:tcPr>
                  <w:tcW w:w="384" w:type="pct"/>
                  <w:tcBorders>
                    <w:top w:val="nil"/>
                    <w:left w:val="nil"/>
                    <w:bottom w:val="single" w:sz="4" w:space="0" w:color="auto"/>
                    <w:right w:val="nil"/>
                  </w:tcBorders>
                  <w:shd w:val="clear" w:color="auto" w:fill="FFFFFF" w:themeFill="background1"/>
                  <w:noWrap/>
                  <w:vAlign w:val="bottom"/>
                  <w:hideMark/>
                </w:tcPr>
                <w:p w14:paraId="3A303D4A"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N/A</w:t>
                  </w:r>
                </w:p>
              </w:tc>
              <w:tc>
                <w:tcPr>
                  <w:tcW w:w="410" w:type="pct"/>
                  <w:tcBorders>
                    <w:top w:val="nil"/>
                    <w:left w:val="nil"/>
                    <w:bottom w:val="single" w:sz="4" w:space="0" w:color="auto"/>
                    <w:right w:val="nil"/>
                  </w:tcBorders>
                  <w:shd w:val="clear" w:color="auto" w:fill="FFFFFF" w:themeFill="background1"/>
                  <w:noWrap/>
                  <w:vAlign w:val="bottom"/>
                  <w:hideMark/>
                </w:tcPr>
                <w:p w14:paraId="67AC0D82"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N/A</w:t>
                  </w:r>
                </w:p>
              </w:tc>
              <w:tc>
                <w:tcPr>
                  <w:tcW w:w="384" w:type="pct"/>
                  <w:tcBorders>
                    <w:top w:val="nil"/>
                    <w:left w:val="nil"/>
                    <w:bottom w:val="single" w:sz="4" w:space="0" w:color="auto"/>
                    <w:right w:val="nil"/>
                  </w:tcBorders>
                  <w:shd w:val="clear" w:color="auto" w:fill="FFFFFF" w:themeFill="background1"/>
                  <w:noWrap/>
                  <w:vAlign w:val="bottom"/>
                  <w:hideMark/>
                </w:tcPr>
                <w:p w14:paraId="4E8F14F5"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N/A</w:t>
                  </w:r>
                </w:p>
              </w:tc>
              <w:tc>
                <w:tcPr>
                  <w:tcW w:w="384" w:type="pct"/>
                  <w:tcBorders>
                    <w:top w:val="nil"/>
                    <w:left w:val="nil"/>
                    <w:bottom w:val="single" w:sz="4" w:space="0" w:color="auto"/>
                    <w:right w:val="nil"/>
                  </w:tcBorders>
                  <w:shd w:val="clear" w:color="auto" w:fill="FFFFFF" w:themeFill="background1"/>
                  <w:noWrap/>
                  <w:vAlign w:val="bottom"/>
                  <w:hideMark/>
                </w:tcPr>
                <w:p w14:paraId="6223E7F3"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N/A</w:t>
                  </w:r>
                </w:p>
              </w:tc>
              <w:tc>
                <w:tcPr>
                  <w:tcW w:w="359" w:type="pct"/>
                  <w:tcBorders>
                    <w:top w:val="nil"/>
                    <w:left w:val="nil"/>
                    <w:bottom w:val="single" w:sz="4" w:space="0" w:color="auto"/>
                    <w:right w:val="nil"/>
                  </w:tcBorders>
                  <w:shd w:val="clear" w:color="auto" w:fill="FFFFFF" w:themeFill="background1"/>
                  <w:noWrap/>
                  <w:vAlign w:val="bottom"/>
                  <w:hideMark/>
                </w:tcPr>
                <w:p w14:paraId="1686332A"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N/A</w:t>
                  </w:r>
                </w:p>
              </w:tc>
              <w:tc>
                <w:tcPr>
                  <w:tcW w:w="352" w:type="pct"/>
                  <w:tcBorders>
                    <w:top w:val="nil"/>
                    <w:left w:val="nil"/>
                    <w:bottom w:val="single" w:sz="4" w:space="0" w:color="auto"/>
                    <w:right w:val="nil"/>
                  </w:tcBorders>
                  <w:shd w:val="clear" w:color="auto" w:fill="FFFFFF" w:themeFill="background1"/>
                  <w:noWrap/>
                  <w:vAlign w:val="bottom"/>
                  <w:hideMark/>
                </w:tcPr>
                <w:p w14:paraId="35659C96"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N/A</w:t>
                  </w:r>
                </w:p>
              </w:tc>
              <w:tc>
                <w:tcPr>
                  <w:tcW w:w="339" w:type="pct"/>
                  <w:tcBorders>
                    <w:top w:val="nil"/>
                    <w:left w:val="nil"/>
                    <w:bottom w:val="single" w:sz="4" w:space="0" w:color="auto"/>
                    <w:right w:val="nil"/>
                  </w:tcBorders>
                  <w:shd w:val="clear" w:color="auto" w:fill="FFFFFF" w:themeFill="background1"/>
                  <w:noWrap/>
                  <w:vAlign w:val="bottom"/>
                  <w:hideMark/>
                </w:tcPr>
                <w:p w14:paraId="16350787"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N/A</w:t>
                  </w:r>
                </w:p>
              </w:tc>
              <w:tc>
                <w:tcPr>
                  <w:tcW w:w="321" w:type="pct"/>
                  <w:tcBorders>
                    <w:top w:val="nil"/>
                    <w:left w:val="nil"/>
                    <w:bottom w:val="single" w:sz="4" w:space="0" w:color="auto"/>
                    <w:right w:val="nil"/>
                  </w:tcBorders>
                  <w:shd w:val="clear" w:color="auto" w:fill="FFFFFF" w:themeFill="background1"/>
                  <w:noWrap/>
                  <w:vAlign w:val="bottom"/>
                  <w:hideMark/>
                </w:tcPr>
                <w:p w14:paraId="0B6E8224" w14:textId="77777777" w:rsidR="00EF4AE2" w:rsidRPr="00EF4AE2" w:rsidRDefault="00EF4AE2" w:rsidP="00EF4AE2">
                  <w:pPr>
                    <w:spacing w:after="0" w:line="240" w:lineRule="auto"/>
                    <w:jc w:val="right"/>
                    <w:rPr>
                      <w:rFonts w:ascii="Calibri" w:eastAsia="Times New Roman" w:hAnsi="Calibri" w:cs="Calibri"/>
                      <w:sz w:val="20"/>
                      <w:szCs w:val="20"/>
                      <w:lang w:eastAsia="en-ZA"/>
                    </w:rPr>
                  </w:pPr>
                  <w:r w:rsidRPr="00EF4AE2">
                    <w:rPr>
                      <w:rFonts w:ascii="Calibri" w:eastAsia="Times New Roman" w:hAnsi="Calibri" w:cs="Calibri"/>
                      <w:sz w:val="20"/>
                      <w:szCs w:val="20"/>
                      <w:lang w:eastAsia="en-ZA"/>
                    </w:rPr>
                    <w:t>N/A</w:t>
                  </w:r>
                </w:p>
              </w:tc>
            </w:tr>
          </w:tbl>
          <w:p w14:paraId="746BBFFB" w14:textId="0EC487F8" w:rsidR="00EF4AE2" w:rsidRDefault="00EF4AE2" w:rsidP="00B03E72">
            <w:pPr>
              <w:jc w:val="both"/>
            </w:pPr>
          </w:p>
        </w:tc>
      </w:tr>
      <w:tr w:rsidR="00EF4AE2" w14:paraId="7CB322FE" w14:textId="77777777" w:rsidTr="00DB2C4F">
        <w:tc>
          <w:tcPr>
            <w:tcW w:w="5000" w:type="pct"/>
          </w:tcPr>
          <w:p w14:paraId="72608AA0" w14:textId="1D2E6322" w:rsidR="00EF4AE2" w:rsidRPr="009C41F2" w:rsidRDefault="00EF4AE2" w:rsidP="00B03E72">
            <w:pPr>
              <w:jc w:val="both"/>
              <w:rPr>
                <w:sz w:val="16"/>
                <w:szCs w:val="16"/>
              </w:rPr>
            </w:pPr>
            <w:r>
              <w:rPr>
                <w:sz w:val="16"/>
                <w:szCs w:val="16"/>
              </w:rPr>
              <w:t>Source: Merit Stocks, Factset</w:t>
            </w:r>
            <w:r w:rsidR="00255E72">
              <w:rPr>
                <w:sz w:val="16"/>
                <w:szCs w:val="16"/>
              </w:rPr>
              <w:t xml:space="preserve"> Market Aggregates</w:t>
            </w:r>
          </w:p>
        </w:tc>
      </w:tr>
    </w:tbl>
    <w:p w14:paraId="45A318B3" w14:textId="77777777" w:rsidR="00EF4AE2" w:rsidRDefault="00EF4AE2" w:rsidP="00EF4AE2">
      <w:pPr>
        <w:spacing w:after="0"/>
      </w:pPr>
    </w:p>
    <w:p w14:paraId="44B19E93" w14:textId="77777777" w:rsidR="00B3064C" w:rsidRPr="00B3064C" w:rsidRDefault="00B3064C" w:rsidP="00B3064C">
      <w:pPr>
        <w:spacing w:after="0"/>
        <w:jc w:val="both"/>
      </w:pPr>
      <w:r w:rsidRPr="00B3064C">
        <w:rPr>
          <w:b/>
          <w:bCs/>
        </w:rPr>
        <w:t>Key:</w:t>
      </w:r>
    </w:p>
    <w:p w14:paraId="6D1D5879" w14:textId="77777777" w:rsidR="00B3064C" w:rsidRPr="00B3064C" w:rsidRDefault="00B3064C" w:rsidP="00B3064C">
      <w:pPr>
        <w:spacing w:after="0"/>
        <w:jc w:val="both"/>
      </w:pPr>
      <w:r w:rsidRPr="00B3064C">
        <w:t xml:space="preserve">All multiples are estimated using current share prices - </w:t>
      </w:r>
      <w:r w:rsidRPr="00B3064C">
        <w:rPr>
          <w:b/>
          <w:bCs/>
        </w:rPr>
        <w:t>P</w:t>
      </w:r>
      <w:r w:rsidRPr="00B3064C">
        <w:t xml:space="preserve">. </w:t>
      </w:r>
    </w:p>
    <w:p w14:paraId="19D80974" w14:textId="77777777" w:rsidR="00B3064C" w:rsidRPr="00B3064C" w:rsidRDefault="00B3064C" w:rsidP="00B3064C">
      <w:pPr>
        <w:spacing w:after="0"/>
        <w:jc w:val="both"/>
      </w:pPr>
      <w:r w:rsidRPr="00B3064C">
        <w:rPr>
          <w:b/>
          <w:bCs/>
        </w:rPr>
        <w:t>EV</w:t>
      </w:r>
      <w:r w:rsidRPr="00B3064C">
        <w:t xml:space="preserve"> - Enterprise Value is estimated using Market Value of Equity plus Net Debt i.e. Debt less Cash and Cash Equivalents. </w:t>
      </w:r>
      <w:r w:rsidRPr="00B3064C">
        <w:rPr>
          <w:b/>
          <w:bCs/>
        </w:rPr>
        <w:t>EBITDA</w:t>
      </w:r>
      <w:r w:rsidRPr="00B3064C">
        <w:t xml:space="preserve"> - Earnings before Interest, Taxation, Depreciation and Amortisation</w:t>
      </w:r>
      <w:r w:rsidRPr="00B3064C">
        <w:rPr>
          <w:b/>
          <w:bCs/>
        </w:rPr>
        <w:t xml:space="preserve">. EBIT </w:t>
      </w:r>
      <w:r w:rsidRPr="00B3064C">
        <w:t xml:space="preserve">- Earnings before Interest and Taxation. </w:t>
      </w:r>
      <w:r w:rsidRPr="00B3064C">
        <w:rPr>
          <w:b/>
          <w:bCs/>
        </w:rPr>
        <w:t>DY</w:t>
      </w:r>
      <w:r w:rsidRPr="00B3064C">
        <w:t xml:space="preserve"> - Dividend Yield. </w:t>
      </w:r>
    </w:p>
    <w:p w14:paraId="0FEF6569" w14:textId="079D97AA" w:rsidR="00B3064C" w:rsidRPr="00B3064C" w:rsidRDefault="00B3064C" w:rsidP="00B3064C">
      <w:pPr>
        <w:spacing w:after="0"/>
        <w:jc w:val="both"/>
      </w:pPr>
      <w:r w:rsidRPr="00B3064C">
        <w:rPr>
          <w:b/>
          <w:bCs/>
        </w:rPr>
        <w:t>P/E LTM (x)</w:t>
      </w:r>
      <w:r w:rsidRPr="00B3064C">
        <w:t xml:space="preserve"> - Price to Earnings multiple is estimated using trailing twelve months earnings ; </w:t>
      </w:r>
      <w:r w:rsidRPr="00B3064C">
        <w:rPr>
          <w:b/>
          <w:bCs/>
        </w:rPr>
        <w:t xml:space="preserve">P/E CY1 (x) </w:t>
      </w:r>
      <w:r w:rsidRPr="00B3064C">
        <w:t xml:space="preserve">- Price to Earnings multiple is estimated using consensus earnings forecast for the current calendar year; </w:t>
      </w:r>
      <w:r w:rsidRPr="00B3064C">
        <w:rPr>
          <w:b/>
          <w:bCs/>
        </w:rPr>
        <w:t xml:space="preserve">P/E CY2 (x) </w:t>
      </w:r>
      <w:r w:rsidRPr="00B3064C">
        <w:t xml:space="preserve">- Price to Earnings multiple is estimated using consensus earnings forecast for the next calendar year; </w:t>
      </w:r>
      <w:r w:rsidRPr="00B3064C">
        <w:rPr>
          <w:b/>
          <w:bCs/>
        </w:rPr>
        <w:t xml:space="preserve">P/E NTM (x) </w:t>
      </w:r>
      <w:r w:rsidRPr="00B3064C">
        <w:t xml:space="preserve">- Price to Earnings multiple is estimated using consensus earnings forecast for the next twelve months; </w:t>
      </w:r>
      <w:r w:rsidRPr="00B3064C">
        <w:rPr>
          <w:b/>
          <w:bCs/>
        </w:rPr>
        <w:t>P/S (x)</w:t>
      </w:r>
      <w:r w:rsidRPr="00B3064C">
        <w:t xml:space="preserve"> - Price to Sales multiple is estimated using trailing twelve months of sales; </w:t>
      </w:r>
      <w:r w:rsidRPr="00B3064C">
        <w:rPr>
          <w:b/>
          <w:bCs/>
        </w:rPr>
        <w:t>P/B (x)</w:t>
      </w:r>
      <w:r w:rsidRPr="00B3064C">
        <w:t xml:space="preserve"> - Price to Book multiple is estimated using the latest historical book (accounting) values</w:t>
      </w:r>
      <w:r>
        <w:t xml:space="preserve"> </w:t>
      </w:r>
      <w:r w:rsidRPr="00B3064C">
        <w:t xml:space="preserve">of equity; </w:t>
      </w:r>
      <w:r w:rsidRPr="00B3064C">
        <w:rPr>
          <w:b/>
          <w:bCs/>
        </w:rPr>
        <w:t>P/CF (x)</w:t>
      </w:r>
      <w:r w:rsidRPr="00B3064C">
        <w:t xml:space="preserve"> - Price to Cash Flow multiple is estimated using the latest historical cash flow from operations;  </w:t>
      </w:r>
      <w:r w:rsidRPr="00B3064C">
        <w:rPr>
          <w:b/>
          <w:bCs/>
        </w:rPr>
        <w:t xml:space="preserve">EV/EBITDA </w:t>
      </w:r>
      <w:r w:rsidRPr="00B3064C">
        <w:t xml:space="preserve">multiple is estimated using current market values of equity and historical Net Debt and EBITDA numbers; </w:t>
      </w:r>
      <w:r w:rsidRPr="00B3064C">
        <w:rPr>
          <w:b/>
          <w:bCs/>
        </w:rPr>
        <w:t xml:space="preserve">EV/EBIT </w:t>
      </w:r>
      <w:r w:rsidRPr="00B3064C">
        <w:t xml:space="preserve">multiple is estimated using current market values of equity and historical Net Debt and EBIT numbers; </w:t>
      </w:r>
      <w:r w:rsidRPr="00B3064C">
        <w:rPr>
          <w:b/>
          <w:bCs/>
        </w:rPr>
        <w:t xml:space="preserve">EV/S </w:t>
      </w:r>
      <w:r w:rsidRPr="00B3064C">
        <w:t xml:space="preserve">multiple is estimated using  current market values of equity and historical Net Debt and Sales numbers. </w:t>
      </w:r>
      <w:r w:rsidRPr="00B3064C">
        <w:rPr>
          <w:b/>
          <w:bCs/>
        </w:rPr>
        <w:t>DY</w:t>
      </w:r>
      <w:r w:rsidRPr="00B3064C">
        <w:t xml:space="preserve"> is estimated using current share prices and trailing twelve months dividends.</w:t>
      </w:r>
    </w:p>
    <w:p w14:paraId="6BE4E157" w14:textId="46A5B281" w:rsidR="00DB2C4F" w:rsidRDefault="00DB2C4F" w:rsidP="00EF4AE2">
      <w:pPr>
        <w:spacing w:after="0"/>
      </w:pPr>
    </w:p>
    <w:p w14:paraId="5DBDC7EB" w14:textId="54AB6008" w:rsidR="00DB2C4F" w:rsidRDefault="00DB2C4F" w:rsidP="00EF4AE2">
      <w:pPr>
        <w:spacing w:after="0"/>
      </w:pPr>
    </w:p>
    <w:p w14:paraId="4D8FEEB1" w14:textId="25C4E9B3" w:rsidR="00DB2C4F" w:rsidRDefault="00DB2C4F" w:rsidP="00EF4AE2">
      <w:pPr>
        <w:spacing w:after="0"/>
      </w:pPr>
    </w:p>
    <w:p w14:paraId="0E463300" w14:textId="361F389A" w:rsidR="00DB2C4F" w:rsidRDefault="00DB2C4F" w:rsidP="00EF4AE2">
      <w:pPr>
        <w:spacing w:after="0"/>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79"/>
        <w:gridCol w:w="6979"/>
      </w:tblGrid>
      <w:tr w:rsidR="00827DEB" w14:paraId="15832738" w14:textId="77777777" w:rsidTr="00827DEB">
        <w:tc>
          <w:tcPr>
            <w:tcW w:w="2500" w:type="pct"/>
            <w:tcBorders>
              <w:bottom w:val="single" w:sz="4" w:space="0" w:color="auto"/>
            </w:tcBorders>
          </w:tcPr>
          <w:p w14:paraId="6E4131B1" w14:textId="46D01E21" w:rsidR="00E45E2E" w:rsidRPr="00E45E2E" w:rsidRDefault="00E45E2E" w:rsidP="00E45E2E">
            <w:pPr>
              <w:rPr>
                <w:rFonts w:asciiTheme="majorHAnsi" w:hAnsiTheme="majorHAnsi" w:cstheme="majorHAnsi"/>
                <w:b/>
              </w:rPr>
            </w:pPr>
            <w:r w:rsidRPr="00E45E2E">
              <w:rPr>
                <w:rFonts w:asciiTheme="majorHAnsi" w:hAnsiTheme="majorHAnsi" w:cstheme="majorHAnsi"/>
                <w:b/>
              </w:rPr>
              <w:t xml:space="preserve">Figure </w:t>
            </w:r>
            <w:r w:rsidR="00B10C4D">
              <w:rPr>
                <w:rFonts w:asciiTheme="majorHAnsi" w:hAnsiTheme="majorHAnsi" w:cstheme="majorHAnsi"/>
                <w:b/>
              </w:rPr>
              <w:t>9</w:t>
            </w:r>
            <w:r w:rsidRPr="00E45E2E">
              <w:rPr>
                <w:rFonts w:asciiTheme="majorHAnsi" w:hAnsiTheme="majorHAnsi" w:cstheme="majorHAnsi"/>
                <w:b/>
              </w:rPr>
              <w:t>: FTSE JSE All Share – Trading Areas</w:t>
            </w:r>
          </w:p>
        </w:tc>
        <w:tc>
          <w:tcPr>
            <w:tcW w:w="2500" w:type="pct"/>
            <w:tcBorders>
              <w:bottom w:val="single" w:sz="4" w:space="0" w:color="auto"/>
            </w:tcBorders>
          </w:tcPr>
          <w:p w14:paraId="561C44AB" w14:textId="7F3E48B8" w:rsidR="00E45E2E" w:rsidRDefault="00E45E2E" w:rsidP="00E45E2E">
            <w:r w:rsidRPr="00E45E2E">
              <w:rPr>
                <w:rFonts w:asciiTheme="majorHAnsi" w:hAnsiTheme="majorHAnsi" w:cstheme="majorHAnsi"/>
                <w:b/>
              </w:rPr>
              <w:t xml:space="preserve">Figure </w:t>
            </w:r>
            <w:r w:rsidR="00B10C4D">
              <w:rPr>
                <w:rFonts w:asciiTheme="majorHAnsi" w:hAnsiTheme="majorHAnsi" w:cstheme="majorHAnsi"/>
                <w:b/>
              </w:rPr>
              <w:t>10</w:t>
            </w:r>
            <w:r w:rsidRPr="00E45E2E">
              <w:rPr>
                <w:rFonts w:asciiTheme="majorHAnsi" w:hAnsiTheme="majorHAnsi" w:cstheme="majorHAnsi"/>
                <w:b/>
              </w:rPr>
              <w:t xml:space="preserve">: FTSE JSE </w:t>
            </w:r>
            <w:r w:rsidR="00B677A8">
              <w:rPr>
                <w:rFonts w:asciiTheme="majorHAnsi" w:hAnsiTheme="majorHAnsi" w:cstheme="majorHAnsi"/>
                <w:b/>
              </w:rPr>
              <w:t>Oil &amp; Gas</w:t>
            </w:r>
            <w:r w:rsidRPr="00E45E2E">
              <w:rPr>
                <w:rFonts w:asciiTheme="majorHAnsi" w:hAnsiTheme="majorHAnsi" w:cstheme="majorHAnsi"/>
                <w:b/>
              </w:rPr>
              <w:t xml:space="preserve"> – Trading Areas</w:t>
            </w:r>
          </w:p>
        </w:tc>
      </w:tr>
      <w:tr w:rsidR="00E45E2E" w14:paraId="7E931F27" w14:textId="77777777" w:rsidTr="00827DEB">
        <w:tc>
          <w:tcPr>
            <w:tcW w:w="2500" w:type="pct"/>
            <w:tcBorders>
              <w:top w:val="single" w:sz="4" w:space="0" w:color="auto"/>
            </w:tcBorders>
          </w:tcPr>
          <w:p w14:paraId="638453AD" w14:textId="47958277" w:rsidR="00E45E2E" w:rsidRDefault="00E45E2E" w:rsidP="00E45E2E">
            <w:r w:rsidRPr="00B3064C">
              <w:rPr>
                <w:noProof/>
              </w:rPr>
              <w:drawing>
                <wp:inline distT="0" distB="0" distL="0" distR="0" wp14:anchorId="68DC7269" wp14:editId="40E7D1B6">
                  <wp:extent cx="4314825" cy="2247900"/>
                  <wp:effectExtent l="0" t="0" r="952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314825" cy="2247900"/>
                          </a:xfrm>
                          <a:prstGeom prst="rect">
                            <a:avLst/>
                          </a:prstGeom>
                          <a:noFill/>
                          <a:ln>
                            <a:noFill/>
                          </a:ln>
                        </pic:spPr>
                      </pic:pic>
                    </a:graphicData>
                  </a:graphic>
                </wp:inline>
              </w:drawing>
            </w:r>
          </w:p>
        </w:tc>
        <w:tc>
          <w:tcPr>
            <w:tcW w:w="2500" w:type="pct"/>
            <w:tcBorders>
              <w:top w:val="single" w:sz="4" w:space="0" w:color="auto"/>
            </w:tcBorders>
          </w:tcPr>
          <w:p w14:paraId="668B06DC" w14:textId="02175679" w:rsidR="00E45E2E" w:rsidRDefault="00E45E2E" w:rsidP="00E45E2E">
            <w:r w:rsidRPr="00B3064C">
              <w:rPr>
                <w:noProof/>
              </w:rPr>
              <w:drawing>
                <wp:inline distT="0" distB="0" distL="0" distR="0" wp14:anchorId="180B8267" wp14:editId="7BAD9AA8">
                  <wp:extent cx="4276725" cy="2247900"/>
                  <wp:effectExtent l="0" t="0" r="952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276725" cy="2247900"/>
                          </a:xfrm>
                          <a:prstGeom prst="rect">
                            <a:avLst/>
                          </a:prstGeom>
                          <a:noFill/>
                          <a:ln>
                            <a:noFill/>
                          </a:ln>
                        </pic:spPr>
                      </pic:pic>
                    </a:graphicData>
                  </a:graphic>
                </wp:inline>
              </w:drawing>
            </w:r>
          </w:p>
        </w:tc>
      </w:tr>
      <w:tr w:rsidR="00E45E2E" w14:paraId="7E7FB74F" w14:textId="77777777" w:rsidTr="00827DEB">
        <w:tc>
          <w:tcPr>
            <w:tcW w:w="2500" w:type="pct"/>
          </w:tcPr>
          <w:p w14:paraId="6D1F1752" w14:textId="597DB1F7" w:rsidR="00E45E2E" w:rsidRPr="00E45E2E" w:rsidRDefault="00E45E2E" w:rsidP="00E45E2E">
            <w:pPr>
              <w:rPr>
                <w:sz w:val="16"/>
                <w:szCs w:val="16"/>
              </w:rPr>
            </w:pPr>
            <w:r w:rsidRPr="00E45E2E">
              <w:rPr>
                <w:sz w:val="16"/>
                <w:szCs w:val="16"/>
              </w:rPr>
              <w:t>Source: Merit Stocks, Factset</w:t>
            </w:r>
          </w:p>
        </w:tc>
        <w:tc>
          <w:tcPr>
            <w:tcW w:w="2500" w:type="pct"/>
          </w:tcPr>
          <w:p w14:paraId="5CCEA43E" w14:textId="16C5104F" w:rsidR="00E45E2E" w:rsidRDefault="00E45E2E" w:rsidP="00E45E2E">
            <w:r w:rsidRPr="00E45E2E">
              <w:rPr>
                <w:sz w:val="16"/>
                <w:szCs w:val="16"/>
              </w:rPr>
              <w:t>Source: Merit Stocks, Factset</w:t>
            </w:r>
          </w:p>
        </w:tc>
      </w:tr>
      <w:tr w:rsidR="00827DEB" w14:paraId="392F1A94" w14:textId="77777777" w:rsidTr="00827DEB">
        <w:tc>
          <w:tcPr>
            <w:tcW w:w="2500" w:type="pct"/>
          </w:tcPr>
          <w:p w14:paraId="04A85B46" w14:textId="63AD5215" w:rsidR="00E45E2E" w:rsidRDefault="00E45E2E" w:rsidP="00E45E2E">
            <w:r w:rsidRPr="00E45E2E">
              <w:rPr>
                <w:rFonts w:asciiTheme="majorHAnsi" w:hAnsiTheme="majorHAnsi" w:cstheme="majorHAnsi"/>
                <w:b/>
              </w:rPr>
              <w:t xml:space="preserve">Figure </w:t>
            </w:r>
            <w:r w:rsidR="00B10C4D">
              <w:rPr>
                <w:rFonts w:asciiTheme="majorHAnsi" w:hAnsiTheme="majorHAnsi" w:cstheme="majorHAnsi"/>
                <w:b/>
              </w:rPr>
              <w:t>11</w:t>
            </w:r>
            <w:r w:rsidRPr="00E45E2E">
              <w:rPr>
                <w:rFonts w:asciiTheme="majorHAnsi" w:hAnsiTheme="majorHAnsi" w:cstheme="majorHAnsi"/>
                <w:b/>
              </w:rPr>
              <w:t xml:space="preserve">: FTSE JSE </w:t>
            </w:r>
            <w:r w:rsidR="00234F90">
              <w:rPr>
                <w:rFonts w:asciiTheme="majorHAnsi" w:hAnsiTheme="majorHAnsi" w:cstheme="majorHAnsi"/>
                <w:b/>
              </w:rPr>
              <w:t>Basic Materials</w:t>
            </w:r>
            <w:r w:rsidRPr="00E45E2E">
              <w:rPr>
                <w:rFonts w:asciiTheme="majorHAnsi" w:hAnsiTheme="majorHAnsi" w:cstheme="majorHAnsi"/>
                <w:b/>
              </w:rPr>
              <w:t xml:space="preserve"> – Trading Areas</w:t>
            </w:r>
          </w:p>
        </w:tc>
        <w:tc>
          <w:tcPr>
            <w:tcW w:w="2500" w:type="pct"/>
          </w:tcPr>
          <w:p w14:paraId="49C22C6C" w14:textId="3A19D38C" w:rsidR="00E45E2E" w:rsidRDefault="00E45E2E" w:rsidP="00E45E2E">
            <w:r w:rsidRPr="00E45E2E">
              <w:rPr>
                <w:rFonts w:asciiTheme="majorHAnsi" w:hAnsiTheme="majorHAnsi" w:cstheme="majorHAnsi"/>
                <w:b/>
              </w:rPr>
              <w:t xml:space="preserve">Figure </w:t>
            </w:r>
            <w:r w:rsidR="00B677A8">
              <w:rPr>
                <w:rFonts w:asciiTheme="majorHAnsi" w:hAnsiTheme="majorHAnsi" w:cstheme="majorHAnsi"/>
                <w:b/>
              </w:rPr>
              <w:t>1</w:t>
            </w:r>
            <w:r w:rsidR="00B10C4D">
              <w:rPr>
                <w:rFonts w:asciiTheme="majorHAnsi" w:hAnsiTheme="majorHAnsi" w:cstheme="majorHAnsi"/>
                <w:b/>
              </w:rPr>
              <w:t>2</w:t>
            </w:r>
            <w:r w:rsidRPr="00E45E2E">
              <w:rPr>
                <w:rFonts w:asciiTheme="majorHAnsi" w:hAnsiTheme="majorHAnsi" w:cstheme="majorHAnsi"/>
                <w:b/>
              </w:rPr>
              <w:t xml:space="preserve">: FTSE JSE </w:t>
            </w:r>
            <w:r w:rsidR="00234F90">
              <w:rPr>
                <w:rFonts w:asciiTheme="majorHAnsi" w:hAnsiTheme="majorHAnsi" w:cstheme="majorHAnsi"/>
                <w:b/>
              </w:rPr>
              <w:t>Industrials</w:t>
            </w:r>
            <w:r w:rsidRPr="00E45E2E">
              <w:rPr>
                <w:rFonts w:asciiTheme="majorHAnsi" w:hAnsiTheme="majorHAnsi" w:cstheme="majorHAnsi"/>
                <w:b/>
              </w:rPr>
              <w:t xml:space="preserve"> – Trading Areas</w:t>
            </w:r>
          </w:p>
        </w:tc>
      </w:tr>
      <w:tr w:rsidR="00827DEB" w14:paraId="7546172A" w14:textId="77777777" w:rsidTr="00CA4F5F">
        <w:tc>
          <w:tcPr>
            <w:tcW w:w="2500" w:type="pct"/>
            <w:tcBorders>
              <w:bottom w:val="single" w:sz="4" w:space="0" w:color="auto"/>
            </w:tcBorders>
          </w:tcPr>
          <w:p w14:paraId="5F1B7675" w14:textId="75DE795C" w:rsidR="00E45E2E" w:rsidRDefault="00E45E2E" w:rsidP="00E45E2E">
            <w:r w:rsidRPr="00B3064C">
              <w:rPr>
                <w:noProof/>
              </w:rPr>
              <w:drawing>
                <wp:inline distT="0" distB="0" distL="0" distR="0" wp14:anchorId="032FCDD2" wp14:editId="05D2C67F">
                  <wp:extent cx="4314825" cy="2543175"/>
                  <wp:effectExtent l="0" t="0" r="9525" b="952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314825" cy="2543175"/>
                          </a:xfrm>
                          <a:prstGeom prst="rect">
                            <a:avLst/>
                          </a:prstGeom>
                          <a:noFill/>
                          <a:ln>
                            <a:noFill/>
                          </a:ln>
                        </pic:spPr>
                      </pic:pic>
                    </a:graphicData>
                  </a:graphic>
                </wp:inline>
              </w:drawing>
            </w:r>
          </w:p>
        </w:tc>
        <w:tc>
          <w:tcPr>
            <w:tcW w:w="2500" w:type="pct"/>
            <w:tcBorders>
              <w:bottom w:val="single" w:sz="4" w:space="0" w:color="auto"/>
            </w:tcBorders>
          </w:tcPr>
          <w:p w14:paraId="3B9C466A" w14:textId="4478DC69" w:rsidR="00E45E2E" w:rsidRDefault="00E45E2E" w:rsidP="00E45E2E">
            <w:r w:rsidRPr="00B3064C">
              <w:rPr>
                <w:noProof/>
              </w:rPr>
              <w:drawing>
                <wp:inline distT="0" distB="0" distL="0" distR="0" wp14:anchorId="6907FE77" wp14:editId="66C76263">
                  <wp:extent cx="4324350" cy="2543175"/>
                  <wp:effectExtent l="0" t="0" r="0"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324350" cy="2543175"/>
                          </a:xfrm>
                          <a:prstGeom prst="rect">
                            <a:avLst/>
                          </a:prstGeom>
                          <a:noFill/>
                          <a:ln>
                            <a:noFill/>
                          </a:ln>
                        </pic:spPr>
                      </pic:pic>
                    </a:graphicData>
                  </a:graphic>
                </wp:inline>
              </w:drawing>
            </w:r>
          </w:p>
        </w:tc>
      </w:tr>
      <w:tr w:rsidR="00827DEB" w14:paraId="38B2232C" w14:textId="77777777" w:rsidTr="00CA4F5F">
        <w:tc>
          <w:tcPr>
            <w:tcW w:w="2500" w:type="pct"/>
            <w:tcBorders>
              <w:top w:val="single" w:sz="4" w:space="0" w:color="auto"/>
            </w:tcBorders>
          </w:tcPr>
          <w:p w14:paraId="1CF38B1D" w14:textId="502EC99C" w:rsidR="00E45E2E" w:rsidRDefault="00E45E2E" w:rsidP="00E45E2E">
            <w:r w:rsidRPr="00E45E2E">
              <w:rPr>
                <w:sz w:val="16"/>
                <w:szCs w:val="16"/>
              </w:rPr>
              <w:t>Source: Merit Stocks, Factset</w:t>
            </w:r>
          </w:p>
        </w:tc>
        <w:tc>
          <w:tcPr>
            <w:tcW w:w="2500" w:type="pct"/>
            <w:tcBorders>
              <w:top w:val="single" w:sz="4" w:space="0" w:color="auto"/>
            </w:tcBorders>
          </w:tcPr>
          <w:p w14:paraId="462C9DE5" w14:textId="03F49DB4" w:rsidR="00E45E2E" w:rsidRDefault="00E45E2E" w:rsidP="00E45E2E">
            <w:r w:rsidRPr="00E45E2E">
              <w:rPr>
                <w:sz w:val="16"/>
                <w:szCs w:val="16"/>
              </w:rPr>
              <w:t>Source: Merit Stocks, Factset</w:t>
            </w:r>
          </w:p>
        </w:tc>
      </w:tr>
    </w:tbl>
    <w:p w14:paraId="70C644C6" w14:textId="77777777" w:rsidR="000A36B8" w:rsidRDefault="000A36B8" w:rsidP="00EF4AE2">
      <w:pPr>
        <w:spacing w:after="0"/>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79"/>
        <w:gridCol w:w="6979"/>
      </w:tblGrid>
      <w:tr w:rsidR="00234F90" w14:paraId="5460E7D8" w14:textId="77777777" w:rsidTr="00D37590">
        <w:tc>
          <w:tcPr>
            <w:tcW w:w="2500" w:type="pct"/>
            <w:tcBorders>
              <w:bottom w:val="single" w:sz="4" w:space="0" w:color="auto"/>
            </w:tcBorders>
          </w:tcPr>
          <w:p w14:paraId="58D50990" w14:textId="52D3A6ED" w:rsidR="00234F90" w:rsidRPr="00E45E2E" w:rsidRDefault="00234F90" w:rsidP="00D37590">
            <w:pPr>
              <w:rPr>
                <w:rFonts w:asciiTheme="majorHAnsi" w:hAnsiTheme="majorHAnsi" w:cstheme="majorHAnsi"/>
                <w:b/>
              </w:rPr>
            </w:pPr>
            <w:r w:rsidRPr="00E45E2E">
              <w:rPr>
                <w:rFonts w:asciiTheme="majorHAnsi" w:hAnsiTheme="majorHAnsi" w:cstheme="majorHAnsi"/>
                <w:b/>
              </w:rPr>
              <w:t xml:space="preserve">Figure </w:t>
            </w:r>
            <w:r>
              <w:rPr>
                <w:rFonts w:asciiTheme="majorHAnsi" w:hAnsiTheme="majorHAnsi" w:cstheme="majorHAnsi"/>
                <w:b/>
              </w:rPr>
              <w:t>13</w:t>
            </w:r>
            <w:r w:rsidRPr="00E45E2E">
              <w:rPr>
                <w:rFonts w:asciiTheme="majorHAnsi" w:hAnsiTheme="majorHAnsi" w:cstheme="majorHAnsi"/>
                <w:b/>
              </w:rPr>
              <w:t xml:space="preserve">: FTSE JSE </w:t>
            </w:r>
            <w:r>
              <w:rPr>
                <w:rFonts w:asciiTheme="majorHAnsi" w:hAnsiTheme="majorHAnsi" w:cstheme="majorHAnsi"/>
                <w:b/>
              </w:rPr>
              <w:t>Consumer Goods</w:t>
            </w:r>
            <w:r w:rsidRPr="00E45E2E">
              <w:rPr>
                <w:rFonts w:asciiTheme="majorHAnsi" w:hAnsiTheme="majorHAnsi" w:cstheme="majorHAnsi"/>
                <w:b/>
              </w:rPr>
              <w:t xml:space="preserve"> – Trading Areas</w:t>
            </w:r>
          </w:p>
        </w:tc>
        <w:tc>
          <w:tcPr>
            <w:tcW w:w="2500" w:type="pct"/>
            <w:tcBorders>
              <w:bottom w:val="single" w:sz="4" w:space="0" w:color="auto"/>
            </w:tcBorders>
          </w:tcPr>
          <w:p w14:paraId="7FDCCAE6" w14:textId="147D93AA" w:rsidR="00234F90" w:rsidRDefault="00234F90" w:rsidP="00D37590">
            <w:r w:rsidRPr="00E45E2E">
              <w:rPr>
                <w:rFonts w:asciiTheme="majorHAnsi" w:hAnsiTheme="majorHAnsi" w:cstheme="majorHAnsi"/>
                <w:b/>
              </w:rPr>
              <w:t xml:space="preserve">Figure </w:t>
            </w:r>
            <w:r>
              <w:rPr>
                <w:rFonts w:asciiTheme="majorHAnsi" w:hAnsiTheme="majorHAnsi" w:cstheme="majorHAnsi"/>
                <w:b/>
              </w:rPr>
              <w:t>1</w:t>
            </w:r>
            <w:r>
              <w:rPr>
                <w:rFonts w:asciiTheme="majorHAnsi" w:hAnsiTheme="majorHAnsi" w:cstheme="majorHAnsi"/>
                <w:b/>
              </w:rPr>
              <w:t>4</w:t>
            </w:r>
            <w:r w:rsidRPr="00E45E2E">
              <w:rPr>
                <w:rFonts w:asciiTheme="majorHAnsi" w:hAnsiTheme="majorHAnsi" w:cstheme="majorHAnsi"/>
                <w:b/>
              </w:rPr>
              <w:t xml:space="preserve">: FTSE JSE </w:t>
            </w:r>
            <w:r>
              <w:rPr>
                <w:rFonts w:asciiTheme="majorHAnsi" w:hAnsiTheme="majorHAnsi" w:cstheme="majorHAnsi"/>
                <w:b/>
              </w:rPr>
              <w:t>Health Care</w:t>
            </w:r>
            <w:r w:rsidRPr="00E45E2E">
              <w:rPr>
                <w:rFonts w:asciiTheme="majorHAnsi" w:hAnsiTheme="majorHAnsi" w:cstheme="majorHAnsi"/>
                <w:b/>
              </w:rPr>
              <w:t xml:space="preserve"> – Trading Areas</w:t>
            </w:r>
          </w:p>
        </w:tc>
      </w:tr>
      <w:tr w:rsidR="00234F90" w14:paraId="13685C67" w14:textId="77777777" w:rsidTr="00D37590">
        <w:tc>
          <w:tcPr>
            <w:tcW w:w="2500" w:type="pct"/>
            <w:tcBorders>
              <w:top w:val="single" w:sz="4" w:space="0" w:color="auto"/>
            </w:tcBorders>
          </w:tcPr>
          <w:p w14:paraId="24AB20E9" w14:textId="77777777" w:rsidR="00234F90" w:rsidRDefault="00234F90" w:rsidP="00D37590">
            <w:r w:rsidRPr="00B3064C">
              <w:rPr>
                <w:noProof/>
              </w:rPr>
              <w:drawing>
                <wp:inline distT="0" distB="0" distL="0" distR="0" wp14:anchorId="220CBF95" wp14:editId="4AC3B8B7">
                  <wp:extent cx="4314825" cy="2209800"/>
                  <wp:effectExtent l="0" t="0" r="9525"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314825" cy="2209800"/>
                          </a:xfrm>
                          <a:prstGeom prst="rect">
                            <a:avLst/>
                          </a:prstGeom>
                          <a:noFill/>
                          <a:ln>
                            <a:noFill/>
                          </a:ln>
                        </pic:spPr>
                      </pic:pic>
                    </a:graphicData>
                  </a:graphic>
                </wp:inline>
              </w:drawing>
            </w:r>
          </w:p>
        </w:tc>
        <w:tc>
          <w:tcPr>
            <w:tcW w:w="2500" w:type="pct"/>
            <w:tcBorders>
              <w:top w:val="single" w:sz="4" w:space="0" w:color="auto"/>
            </w:tcBorders>
          </w:tcPr>
          <w:p w14:paraId="541A6382" w14:textId="77777777" w:rsidR="00234F90" w:rsidRDefault="00234F90" w:rsidP="00D37590">
            <w:r w:rsidRPr="00B3064C">
              <w:rPr>
                <w:noProof/>
              </w:rPr>
              <w:drawing>
                <wp:inline distT="0" distB="0" distL="0" distR="0" wp14:anchorId="5295CF54" wp14:editId="60206C7E">
                  <wp:extent cx="4276725" cy="2209800"/>
                  <wp:effectExtent l="0" t="0" r="9525"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276725" cy="2209800"/>
                          </a:xfrm>
                          <a:prstGeom prst="rect">
                            <a:avLst/>
                          </a:prstGeom>
                          <a:noFill/>
                          <a:ln>
                            <a:noFill/>
                          </a:ln>
                        </pic:spPr>
                      </pic:pic>
                    </a:graphicData>
                  </a:graphic>
                </wp:inline>
              </w:drawing>
            </w:r>
          </w:p>
        </w:tc>
      </w:tr>
      <w:tr w:rsidR="00234F90" w14:paraId="7FA34C22" w14:textId="77777777" w:rsidTr="00D37590">
        <w:tc>
          <w:tcPr>
            <w:tcW w:w="2500" w:type="pct"/>
          </w:tcPr>
          <w:p w14:paraId="25AD9DA8" w14:textId="77777777" w:rsidR="00234F90" w:rsidRPr="00E45E2E" w:rsidRDefault="00234F90" w:rsidP="00D37590">
            <w:pPr>
              <w:rPr>
                <w:sz w:val="16"/>
                <w:szCs w:val="16"/>
              </w:rPr>
            </w:pPr>
            <w:r w:rsidRPr="00E45E2E">
              <w:rPr>
                <w:sz w:val="16"/>
                <w:szCs w:val="16"/>
              </w:rPr>
              <w:t>Source: Merit Stocks, Factset</w:t>
            </w:r>
          </w:p>
        </w:tc>
        <w:tc>
          <w:tcPr>
            <w:tcW w:w="2500" w:type="pct"/>
          </w:tcPr>
          <w:p w14:paraId="1085FF64" w14:textId="77777777" w:rsidR="00234F90" w:rsidRDefault="00234F90" w:rsidP="00D37590">
            <w:r w:rsidRPr="00E45E2E">
              <w:rPr>
                <w:sz w:val="16"/>
                <w:szCs w:val="16"/>
              </w:rPr>
              <w:t>Source: Merit Stocks, Factset</w:t>
            </w:r>
          </w:p>
        </w:tc>
      </w:tr>
      <w:tr w:rsidR="00234F90" w14:paraId="2F53C773" w14:textId="77777777" w:rsidTr="00D37590">
        <w:tc>
          <w:tcPr>
            <w:tcW w:w="2500" w:type="pct"/>
          </w:tcPr>
          <w:p w14:paraId="36ACA605" w14:textId="0CDD313E" w:rsidR="00234F90" w:rsidRDefault="00234F90" w:rsidP="00D37590">
            <w:r w:rsidRPr="00E45E2E">
              <w:rPr>
                <w:rFonts w:asciiTheme="majorHAnsi" w:hAnsiTheme="majorHAnsi" w:cstheme="majorHAnsi"/>
                <w:b/>
              </w:rPr>
              <w:t xml:space="preserve">Figure </w:t>
            </w:r>
            <w:r>
              <w:rPr>
                <w:rFonts w:asciiTheme="majorHAnsi" w:hAnsiTheme="majorHAnsi" w:cstheme="majorHAnsi"/>
                <w:b/>
              </w:rPr>
              <w:t>1</w:t>
            </w:r>
            <w:r w:rsidR="000A36B8">
              <w:rPr>
                <w:rFonts w:asciiTheme="majorHAnsi" w:hAnsiTheme="majorHAnsi" w:cstheme="majorHAnsi"/>
                <w:b/>
              </w:rPr>
              <w:t>5</w:t>
            </w:r>
            <w:r w:rsidRPr="00E45E2E">
              <w:rPr>
                <w:rFonts w:asciiTheme="majorHAnsi" w:hAnsiTheme="majorHAnsi" w:cstheme="majorHAnsi"/>
                <w:b/>
              </w:rPr>
              <w:t xml:space="preserve">: FTSE JSE </w:t>
            </w:r>
            <w:r w:rsidR="000A36B8">
              <w:rPr>
                <w:rFonts w:asciiTheme="majorHAnsi" w:hAnsiTheme="majorHAnsi" w:cstheme="majorHAnsi"/>
                <w:b/>
              </w:rPr>
              <w:t>Consumer Services</w:t>
            </w:r>
            <w:r w:rsidRPr="00E45E2E">
              <w:rPr>
                <w:rFonts w:asciiTheme="majorHAnsi" w:hAnsiTheme="majorHAnsi" w:cstheme="majorHAnsi"/>
                <w:b/>
              </w:rPr>
              <w:t xml:space="preserve"> – Trading Areas</w:t>
            </w:r>
          </w:p>
        </w:tc>
        <w:tc>
          <w:tcPr>
            <w:tcW w:w="2500" w:type="pct"/>
          </w:tcPr>
          <w:p w14:paraId="1869D66D" w14:textId="45C00ADC" w:rsidR="00234F90" w:rsidRDefault="00234F90" w:rsidP="00D37590">
            <w:r w:rsidRPr="00E45E2E">
              <w:rPr>
                <w:rFonts w:asciiTheme="majorHAnsi" w:hAnsiTheme="majorHAnsi" w:cstheme="majorHAnsi"/>
                <w:b/>
              </w:rPr>
              <w:t xml:space="preserve">Figure </w:t>
            </w:r>
            <w:r>
              <w:rPr>
                <w:rFonts w:asciiTheme="majorHAnsi" w:hAnsiTheme="majorHAnsi" w:cstheme="majorHAnsi"/>
                <w:b/>
              </w:rPr>
              <w:t>1</w:t>
            </w:r>
            <w:r w:rsidR="000A36B8">
              <w:rPr>
                <w:rFonts w:asciiTheme="majorHAnsi" w:hAnsiTheme="majorHAnsi" w:cstheme="majorHAnsi"/>
                <w:b/>
              </w:rPr>
              <w:t>6</w:t>
            </w:r>
            <w:r w:rsidRPr="00E45E2E">
              <w:rPr>
                <w:rFonts w:asciiTheme="majorHAnsi" w:hAnsiTheme="majorHAnsi" w:cstheme="majorHAnsi"/>
                <w:b/>
              </w:rPr>
              <w:t xml:space="preserve">: FTSE JSE </w:t>
            </w:r>
            <w:r w:rsidR="000A36B8">
              <w:rPr>
                <w:rFonts w:asciiTheme="majorHAnsi" w:hAnsiTheme="majorHAnsi" w:cstheme="majorHAnsi"/>
                <w:b/>
              </w:rPr>
              <w:t>Telecommunications</w:t>
            </w:r>
            <w:r w:rsidRPr="00E45E2E">
              <w:rPr>
                <w:rFonts w:asciiTheme="majorHAnsi" w:hAnsiTheme="majorHAnsi" w:cstheme="majorHAnsi"/>
                <w:b/>
              </w:rPr>
              <w:t xml:space="preserve"> – Trading Areas</w:t>
            </w:r>
          </w:p>
        </w:tc>
      </w:tr>
      <w:tr w:rsidR="00234F90" w14:paraId="3F7D87FC" w14:textId="77777777" w:rsidTr="00D37590">
        <w:tc>
          <w:tcPr>
            <w:tcW w:w="2500" w:type="pct"/>
            <w:tcBorders>
              <w:bottom w:val="single" w:sz="4" w:space="0" w:color="auto"/>
            </w:tcBorders>
          </w:tcPr>
          <w:p w14:paraId="3C1754EE" w14:textId="77777777" w:rsidR="00234F90" w:rsidRDefault="00234F90" w:rsidP="00D37590">
            <w:r w:rsidRPr="00B3064C">
              <w:rPr>
                <w:noProof/>
              </w:rPr>
              <w:drawing>
                <wp:inline distT="0" distB="0" distL="0" distR="0" wp14:anchorId="1F75A8AF" wp14:editId="775E3D58">
                  <wp:extent cx="4314825" cy="2619375"/>
                  <wp:effectExtent l="0" t="0" r="9525" b="952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314825" cy="2619375"/>
                          </a:xfrm>
                          <a:prstGeom prst="rect">
                            <a:avLst/>
                          </a:prstGeom>
                          <a:noFill/>
                          <a:ln>
                            <a:noFill/>
                          </a:ln>
                        </pic:spPr>
                      </pic:pic>
                    </a:graphicData>
                  </a:graphic>
                </wp:inline>
              </w:drawing>
            </w:r>
          </w:p>
        </w:tc>
        <w:tc>
          <w:tcPr>
            <w:tcW w:w="2500" w:type="pct"/>
            <w:tcBorders>
              <w:bottom w:val="single" w:sz="4" w:space="0" w:color="auto"/>
            </w:tcBorders>
          </w:tcPr>
          <w:p w14:paraId="6621F33E" w14:textId="77777777" w:rsidR="00234F90" w:rsidRDefault="00234F90" w:rsidP="00D37590">
            <w:r w:rsidRPr="00B3064C">
              <w:rPr>
                <w:noProof/>
              </w:rPr>
              <w:drawing>
                <wp:inline distT="0" distB="0" distL="0" distR="0" wp14:anchorId="2CD46B54" wp14:editId="56FA0D66">
                  <wp:extent cx="4324350" cy="2619375"/>
                  <wp:effectExtent l="0" t="0" r="0" b="952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324350" cy="2619375"/>
                          </a:xfrm>
                          <a:prstGeom prst="rect">
                            <a:avLst/>
                          </a:prstGeom>
                          <a:noFill/>
                          <a:ln>
                            <a:noFill/>
                          </a:ln>
                        </pic:spPr>
                      </pic:pic>
                    </a:graphicData>
                  </a:graphic>
                </wp:inline>
              </w:drawing>
            </w:r>
          </w:p>
        </w:tc>
      </w:tr>
      <w:tr w:rsidR="00234F90" w14:paraId="5507A9DF" w14:textId="77777777" w:rsidTr="00D37590">
        <w:tc>
          <w:tcPr>
            <w:tcW w:w="2500" w:type="pct"/>
            <w:tcBorders>
              <w:top w:val="single" w:sz="4" w:space="0" w:color="auto"/>
            </w:tcBorders>
          </w:tcPr>
          <w:p w14:paraId="4DD6AF0E" w14:textId="77777777" w:rsidR="00234F90" w:rsidRDefault="00234F90" w:rsidP="00D37590">
            <w:r w:rsidRPr="00E45E2E">
              <w:rPr>
                <w:sz w:val="16"/>
                <w:szCs w:val="16"/>
              </w:rPr>
              <w:t>Source: Merit Stocks, Factset</w:t>
            </w:r>
          </w:p>
        </w:tc>
        <w:tc>
          <w:tcPr>
            <w:tcW w:w="2500" w:type="pct"/>
            <w:tcBorders>
              <w:top w:val="single" w:sz="4" w:space="0" w:color="auto"/>
            </w:tcBorders>
          </w:tcPr>
          <w:p w14:paraId="40068421" w14:textId="77777777" w:rsidR="00234F90" w:rsidRDefault="00234F90" w:rsidP="00D37590">
            <w:r w:rsidRPr="00E45E2E">
              <w:rPr>
                <w:sz w:val="16"/>
                <w:szCs w:val="16"/>
              </w:rPr>
              <w:t>Source: Merit Stocks, Factset</w:t>
            </w:r>
          </w:p>
        </w:tc>
      </w:tr>
    </w:tbl>
    <w:p w14:paraId="005E62B6" w14:textId="0149545F" w:rsidR="000A36B8" w:rsidRDefault="000A36B8" w:rsidP="00EF4AE2">
      <w:pPr>
        <w:spacing w:after="0"/>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09"/>
        <w:gridCol w:w="6949"/>
      </w:tblGrid>
      <w:tr w:rsidR="000A36B8" w14:paraId="0AA54D34" w14:textId="77777777" w:rsidTr="00E76FEA">
        <w:tc>
          <w:tcPr>
            <w:tcW w:w="2500" w:type="pct"/>
            <w:tcBorders>
              <w:bottom w:val="single" w:sz="4" w:space="0" w:color="auto"/>
            </w:tcBorders>
          </w:tcPr>
          <w:p w14:paraId="2E3A033C" w14:textId="132359B1" w:rsidR="000A36B8" w:rsidRPr="00E45E2E" w:rsidRDefault="000A36B8" w:rsidP="00D37590">
            <w:pPr>
              <w:rPr>
                <w:rFonts w:asciiTheme="majorHAnsi" w:hAnsiTheme="majorHAnsi" w:cstheme="majorHAnsi"/>
                <w:b/>
              </w:rPr>
            </w:pPr>
            <w:r w:rsidRPr="00E45E2E">
              <w:rPr>
                <w:rFonts w:asciiTheme="majorHAnsi" w:hAnsiTheme="majorHAnsi" w:cstheme="majorHAnsi"/>
                <w:b/>
              </w:rPr>
              <w:t xml:space="preserve">Figure </w:t>
            </w:r>
            <w:r>
              <w:rPr>
                <w:rFonts w:asciiTheme="majorHAnsi" w:hAnsiTheme="majorHAnsi" w:cstheme="majorHAnsi"/>
                <w:b/>
              </w:rPr>
              <w:t>1</w:t>
            </w:r>
            <w:r w:rsidR="00E76FEA">
              <w:rPr>
                <w:rFonts w:asciiTheme="majorHAnsi" w:hAnsiTheme="majorHAnsi" w:cstheme="majorHAnsi"/>
                <w:b/>
              </w:rPr>
              <w:t>7</w:t>
            </w:r>
            <w:r w:rsidRPr="00E45E2E">
              <w:rPr>
                <w:rFonts w:asciiTheme="majorHAnsi" w:hAnsiTheme="majorHAnsi" w:cstheme="majorHAnsi"/>
                <w:b/>
              </w:rPr>
              <w:t xml:space="preserve">: FTSE JSE </w:t>
            </w:r>
            <w:r w:rsidR="00E76FEA">
              <w:rPr>
                <w:rFonts w:asciiTheme="majorHAnsi" w:hAnsiTheme="majorHAnsi" w:cstheme="majorHAnsi"/>
                <w:b/>
              </w:rPr>
              <w:t>Financials</w:t>
            </w:r>
            <w:r w:rsidRPr="00E45E2E">
              <w:rPr>
                <w:rFonts w:asciiTheme="majorHAnsi" w:hAnsiTheme="majorHAnsi" w:cstheme="majorHAnsi"/>
                <w:b/>
              </w:rPr>
              <w:t xml:space="preserve"> – Trading Areas</w:t>
            </w:r>
          </w:p>
        </w:tc>
        <w:tc>
          <w:tcPr>
            <w:tcW w:w="2500" w:type="pct"/>
            <w:tcBorders>
              <w:bottom w:val="single" w:sz="4" w:space="0" w:color="auto"/>
            </w:tcBorders>
          </w:tcPr>
          <w:p w14:paraId="029AE08E" w14:textId="7B6EB0D0" w:rsidR="000A36B8" w:rsidRDefault="000A36B8" w:rsidP="00D37590">
            <w:r w:rsidRPr="00E45E2E">
              <w:rPr>
                <w:rFonts w:asciiTheme="majorHAnsi" w:hAnsiTheme="majorHAnsi" w:cstheme="majorHAnsi"/>
                <w:b/>
              </w:rPr>
              <w:t xml:space="preserve">Figure </w:t>
            </w:r>
            <w:r>
              <w:rPr>
                <w:rFonts w:asciiTheme="majorHAnsi" w:hAnsiTheme="majorHAnsi" w:cstheme="majorHAnsi"/>
                <w:b/>
              </w:rPr>
              <w:t>1</w:t>
            </w:r>
            <w:r w:rsidR="00E76FEA">
              <w:rPr>
                <w:rFonts w:asciiTheme="majorHAnsi" w:hAnsiTheme="majorHAnsi" w:cstheme="majorHAnsi"/>
                <w:b/>
              </w:rPr>
              <w:t>8</w:t>
            </w:r>
            <w:r w:rsidRPr="00E45E2E">
              <w:rPr>
                <w:rFonts w:asciiTheme="majorHAnsi" w:hAnsiTheme="majorHAnsi" w:cstheme="majorHAnsi"/>
                <w:b/>
              </w:rPr>
              <w:t xml:space="preserve">: FTSE JSE </w:t>
            </w:r>
            <w:r w:rsidR="00E76FEA">
              <w:rPr>
                <w:rFonts w:asciiTheme="majorHAnsi" w:hAnsiTheme="majorHAnsi" w:cstheme="majorHAnsi"/>
                <w:b/>
              </w:rPr>
              <w:t>Technology</w:t>
            </w:r>
            <w:r w:rsidRPr="00E45E2E">
              <w:rPr>
                <w:rFonts w:asciiTheme="majorHAnsi" w:hAnsiTheme="majorHAnsi" w:cstheme="majorHAnsi"/>
                <w:b/>
              </w:rPr>
              <w:t xml:space="preserve"> – Trading Areas</w:t>
            </w:r>
          </w:p>
        </w:tc>
      </w:tr>
      <w:tr w:rsidR="000A36B8" w14:paraId="2A08A9B8" w14:textId="77777777" w:rsidTr="00E76FEA">
        <w:tc>
          <w:tcPr>
            <w:tcW w:w="2500" w:type="pct"/>
            <w:tcBorders>
              <w:top w:val="single" w:sz="4" w:space="0" w:color="auto"/>
              <w:bottom w:val="single" w:sz="4" w:space="0" w:color="auto"/>
            </w:tcBorders>
          </w:tcPr>
          <w:p w14:paraId="028F7E6B" w14:textId="77777777" w:rsidR="000A36B8" w:rsidRDefault="000A36B8" w:rsidP="00D37590">
            <w:r w:rsidRPr="00B3064C">
              <w:rPr>
                <w:noProof/>
              </w:rPr>
              <w:drawing>
                <wp:inline distT="0" distB="0" distL="0" distR="0" wp14:anchorId="5415EFFB" wp14:editId="7AE8BF20">
                  <wp:extent cx="4314825" cy="2600325"/>
                  <wp:effectExtent l="0" t="0" r="9525" b="952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314825" cy="2600325"/>
                          </a:xfrm>
                          <a:prstGeom prst="rect">
                            <a:avLst/>
                          </a:prstGeom>
                          <a:noFill/>
                          <a:ln>
                            <a:noFill/>
                          </a:ln>
                        </pic:spPr>
                      </pic:pic>
                    </a:graphicData>
                  </a:graphic>
                </wp:inline>
              </w:drawing>
            </w:r>
          </w:p>
        </w:tc>
        <w:tc>
          <w:tcPr>
            <w:tcW w:w="2500" w:type="pct"/>
            <w:tcBorders>
              <w:top w:val="single" w:sz="4" w:space="0" w:color="auto"/>
              <w:bottom w:val="single" w:sz="4" w:space="0" w:color="auto"/>
            </w:tcBorders>
          </w:tcPr>
          <w:p w14:paraId="55F16DA8" w14:textId="77777777" w:rsidR="000A36B8" w:rsidRDefault="000A36B8" w:rsidP="00D37590">
            <w:r w:rsidRPr="00B3064C">
              <w:rPr>
                <w:noProof/>
              </w:rPr>
              <w:drawing>
                <wp:inline distT="0" distB="0" distL="0" distR="0" wp14:anchorId="0478DA2C" wp14:editId="3869BF14">
                  <wp:extent cx="4276725" cy="2600325"/>
                  <wp:effectExtent l="0" t="0" r="9525" b="952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276725" cy="2600325"/>
                          </a:xfrm>
                          <a:prstGeom prst="rect">
                            <a:avLst/>
                          </a:prstGeom>
                          <a:noFill/>
                          <a:ln>
                            <a:noFill/>
                          </a:ln>
                        </pic:spPr>
                      </pic:pic>
                    </a:graphicData>
                  </a:graphic>
                </wp:inline>
              </w:drawing>
            </w:r>
          </w:p>
        </w:tc>
      </w:tr>
      <w:tr w:rsidR="000A36B8" w14:paraId="0B8F0544" w14:textId="77777777" w:rsidTr="00E76FEA">
        <w:tc>
          <w:tcPr>
            <w:tcW w:w="2500" w:type="pct"/>
            <w:tcBorders>
              <w:top w:val="single" w:sz="4" w:space="0" w:color="auto"/>
            </w:tcBorders>
          </w:tcPr>
          <w:p w14:paraId="2963B9B5" w14:textId="77777777" w:rsidR="000A36B8" w:rsidRPr="00E45E2E" w:rsidRDefault="000A36B8" w:rsidP="00D37590">
            <w:pPr>
              <w:rPr>
                <w:sz w:val="16"/>
                <w:szCs w:val="16"/>
              </w:rPr>
            </w:pPr>
            <w:r w:rsidRPr="00E45E2E">
              <w:rPr>
                <w:sz w:val="16"/>
                <w:szCs w:val="16"/>
              </w:rPr>
              <w:t>Source: Merit Stocks, Factset</w:t>
            </w:r>
          </w:p>
        </w:tc>
        <w:tc>
          <w:tcPr>
            <w:tcW w:w="2500" w:type="pct"/>
            <w:tcBorders>
              <w:top w:val="single" w:sz="4" w:space="0" w:color="auto"/>
            </w:tcBorders>
          </w:tcPr>
          <w:p w14:paraId="71D821A1" w14:textId="77777777" w:rsidR="000A36B8" w:rsidRDefault="000A36B8" w:rsidP="00D37590">
            <w:r w:rsidRPr="00E45E2E">
              <w:rPr>
                <w:sz w:val="16"/>
                <w:szCs w:val="16"/>
              </w:rPr>
              <w:t>Source: Merit Stocks, Factset</w:t>
            </w:r>
          </w:p>
        </w:tc>
      </w:tr>
    </w:tbl>
    <w:p w14:paraId="75367E79" w14:textId="77777777" w:rsidR="000A36B8" w:rsidRDefault="000A36B8" w:rsidP="00EF4AE2">
      <w:pPr>
        <w:spacing w:after="0"/>
      </w:pPr>
    </w:p>
    <w:p w14:paraId="7C4DD452" w14:textId="5D2E810F" w:rsidR="000A36B8" w:rsidRDefault="000A36B8" w:rsidP="00EF4AE2">
      <w:pPr>
        <w:spacing w:after="0"/>
      </w:pPr>
    </w:p>
    <w:p w14:paraId="5C19F53D" w14:textId="6AE2085D" w:rsidR="00E76FEA" w:rsidRDefault="00E76FEA" w:rsidP="00EF4AE2">
      <w:pPr>
        <w:spacing w:after="0"/>
      </w:pPr>
    </w:p>
    <w:p w14:paraId="7C67C481" w14:textId="33EA7848" w:rsidR="00E76FEA" w:rsidRDefault="00E76FEA" w:rsidP="00EF4AE2">
      <w:pPr>
        <w:spacing w:after="0"/>
      </w:pPr>
    </w:p>
    <w:p w14:paraId="45153FE4" w14:textId="5B40F095" w:rsidR="00E76FEA" w:rsidRDefault="00E76FEA" w:rsidP="00EF4AE2">
      <w:pPr>
        <w:spacing w:after="0"/>
      </w:pPr>
    </w:p>
    <w:p w14:paraId="655A6D67" w14:textId="5923EA20" w:rsidR="00E76FEA" w:rsidRDefault="00E76FEA" w:rsidP="00EF4AE2">
      <w:pPr>
        <w:spacing w:after="0"/>
      </w:pPr>
    </w:p>
    <w:p w14:paraId="51D9A212" w14:textId="252B5B37" w:rsidR="00E76FEA" w:rsidRDefault="00E76FEA" w:rsidP="00EF4AE2">
      <w:pPr>
        <w:spacing w:after="0"/>
      </w:pPr>
    </w:p>
    <w:p w14:paraId="0B571C2F" w14:textId="27E0EA54" w:rsidR="00E76FEA" w:rsidRDefault="00E76FEA" w:rsidP="00EF4AE2">
      <w:pPr>
        <w:spacing w:after="0"/>
      </w:pPr>
    </w:p>
    <w:p w14:paraId="7A8A5547" w14:textId="27F690E9" w:rsidR="00E76FEA" w:rsidRDefault="00E76FEA" w:rsidP="00EF4AE2">
      <w:pPr>
        <w:spacing w:after="0"/>
      </w:pPr>
    </w:p>
    <w:p w14:paraId="392207E5" w14:textId="6995C071" w:rsidR="00E76FEA" w:rsidRDefault="00E76FEA" w:rsidP="00EF4AE2">
      <w:pPr>
        <w:spacing w:after="0"/>
      </w:pPr>
    </w:p>
    <w:p w14:paraId="3104B09A" w14:textId="1BF7DFF6" w:rsidR="00E76FEA" w:rsidRDefault="00E76FEA" w:rsidP="00EF4AE2">
      <w:pPr>
        <w:spacing w:after="0"/>
      </w:pPr>
    </w:p>
    <w:p w14:paraId="0F5795F2" w14:textId="2E201385" w:rsidR="00E76FEA" w:rsidRDefault="00E76FEA" w:rsidP="00EF4AE2">
      <w:pPr>
        <w:spacing w:after="0"/>
      </w:pPr>
    </w:p>
    <w:p w14:paraId="1F99AE69" w14:textId="65C4A47F" w:rsidR="00E76FEA" w:rsidRDefault="00E76FEA" w:rsidP="00EF4AE2">
      <w:pPr>
        <w:spacing w:after="0"/>
      </w:pPr>
    </w:p>
    <w:p w14:paraId="38FCFCAA" w14:textId="76FB594E" w:rsidR="00E76FEA" w:rsidRDefault="00E76FEA" w:rsidP="00EF4AE2">
      <w:pPr>
        <w:spacing w:after="0"/>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79"/>
        <w:gridCol w:w="6979"/>
      </w:tblGrid>
      <w:tr w:rsidR="008A17A8" w14:paraId="753EB8FC" w14:textId="77777777" w:rsidTr="00D37590">
        <w:tc>
          <w:tcPr>
            <w:tcW w:w="2500" w:type="pct"/>
            <w:tcBorders>
              <w:bottom w:val="single" w:sz="4" w:space="0" w:color="auto"/>
            </w:tcBorders>
          </w:tcPr>
          <w:p w14:paraId="09F5DE4A" w14:textId="4E29A4AD" w:rsidR="005271B3" w:rsidRPr="00E45E2E" w:rsidRDefault="005271B3" w:rsidP="00D37590">
            <w:pPr>
              <w:rPr>
                <w:rFonts w:asciiTheme="majorHAnsi" w:hAnsiTheme="majorHAnsi" w:cstheme="majorHAnsi"/>
                <w:b/>
              </w:rPr>
            </w:pPr>
            <w:r w:rsidRPr="00E45E2E">
              <w:rPr>
                <w:rFonts w:asciiTheme="majorHAnsi" w:hAnsiTheme="majorHAnsi" w:cstheme="majorHAnsi"/>
                <w:b/>
              </w:rPr>
              <w:t xml:space="preserve">Figure </w:t>
            </w:r>
            <w:r w:rsidR="008A50C5">
              <w:rPr>
                <w:rFonts w:asciiTheme="majorHAnsi" w:hAnsiTheme="majorHAnsi" w:cstheme="majorHAnsi"/>
                <w:b/>
              </w:rPr>
              <w:t>1</w:t>
            </w:r>
            <w:r>
              <w:rPr>
                <w:rFonts w:asciiTheme="majorHAnsi" w:hAnsiTheme="majorHAnsi" w:cstheme="majorHAnsi"/>
                <w:b/>
              </w:rPr>
              <w:t>9</w:t>
            </w:r>
            <w:r w:rsidRPr="00E45E2E">
              <w:rPr>
                <w:rFonts w:asciiTheme="majorHAnsi" w:hAnsiTheme="majorHAnsi" w:cstheme="majorHAnsi"/>
                <w:b/>
              </w:rPr>
              <w:t xml:space="preserve">: FTSE JSE All Share – </w:t>
            </w:r>
            <w:r w:rsidR="00E3021D">
              <w:rPr>
                <w:rFonts w:asciiTheme="majorHAnsi" w:hAnsiTheme="majorHAnsi" w:cstheme="majorHAnsi"/>
                <w:b/>
              </w:rPr>
              <w:t>Short Term Valuation</w:t>
            </w:r>
          </w:p>
        </w:tc>
        <w:tc>
          <w:tcPr>
            <w:tcW w:w="2500" w:type="pct"/>
            <w:tcBorders>
              <w:bottom w:val="single" w:sz="4" w:space="0" w:color="auto"/>
            </w:tcBorders>
          </w:tcPr>
          <w:p w14:paraId="385D7AD9" w14:textId="48FCF291" w:rsidR="005271B3" w:rsidRDefault="005271B3" w:rsidP="00D37590">
            <w:r w:rsidRPr="00E45E2E">
              <w:rPr>
                <w:rFonts w:asciiTheme="majorHAnsi" w:hAnsiTheme="majorHAnsi" w:cstheme="majorHAnsi"/>
                <w:b/>
              </w:rPr>
              <w:t xml:space="preserve">Figure </w:t>
            </w:r>
            <w:r w:rsidR="008A50C5">
              <w:rPr>
                <w:rFonts w:asciiTheme="majorHAnsi" w:hAnsiTheme="majorHAnsi" w:cstheme="majorHAnsi"/>
                <w:b/>
              </w:rPr>
              <w:t>2</w:t>
            </w:r>
            <w:r>
              <w:rPr>
                <w:rFonts w:asciiTheme="majorHAnsi" w:hAnsiTheme="majorHAnsi" w:cstheme="majorHAnsi"/>
                <w:b/>
              </w:rPr>
              <w:t>0</w:t>
            </w:r>
            <w:r w:rsidRPr="00E45E2E">
              <w:rPr>
                <w:rFonts w:asciiTheme="majorHAnsi" w:hAnsiTheme="majorHAnsi" w:cstheme="majorHAnsi"/>
                <w:b/>
              </w:rPr>
              <w:t xml:space="preserve">: FTSE JSE </w:t>
            </w:r>
            <w:r>
              <w:rPr>
                <w:rFonts w:asciiTheme="majorHAnsi" w:hAnsiTheme="majorHAnsi" w:cstheme="majorHAnsi"/>
                <w:b/>
              </w:rPr>
              <w:t>Oil &amp; Gas</w:t>
            </w:r>
            <w:r w:rsidRPr="00E45E2E">
              <w:rPr>
                <w:rFonts w:asciiTheme="majorHAnsi" w:hAnsiTheme="majorHAnsi" w:cstheme="majorHAnsi"/>
                <w:b/>
              </w:rPr>
              <w:t xml:space="preserve"> – </w:t>
            </w:r>
            <w:r w:rsidR="00E3021D">
              <w:rPr>
                <w:rFonts w:asciiTheme="majorHAnsi" w:hAnsiTheme="majorHAnsi" w:cstheme="majorHAnsi"/>
                <w:b/>
              </w:rPr>
              <w:t>Short Term Valuation</w:t>
            </w:r>
          </w:p>
        </w:tc>
      </w:tr>
      <w:tr w:rsidR="008A17A8" w14:paraId="364AB557" w14:textId="77777777" w:rsidTr="00D37590">
        <w:tc>
          <w:tcPr>
            <w:tcW w:w="2500" w:type="pct"/>
            <w:tcBorders>
              <w:top w:val="single" w:sz="4" w:space="0" w:color="auto"/>
            </w:tcBorders>
          </w:tcPr>
          <w:p w14:paraId="024B99CE" w14:textId="59084FF7" w:rsidR="005271B3" w:rsidRDefault="008A17A8" w:rsidP="00D37590">
            <w:r w:rsidRPr="008A17A8">
              <w:rPr>
                <w:noProof/>
              </w:rPr>
              <w:drawing>
                <wp:inline distT="0" distB="0" distL="0" distR="0" wp14:anchorId="52112816" wp14:editId="16B33DB9">
                  <wp:extent cx="4352925" cy="2295525"/>
                  <wp:effectExtent l="0" t="0" r="0" b="9525"/>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352925" cy="2295525"/>
                          </a:xfrm>
                          <a:prstGeom prst="rect">
                            <a:avLst/>
                          </a:prstGeom>
                          <a:noFill/>
                          <a:ln>
                            <a:noFill/>
                          </a:ln>
                        </pic:spPr>
                      </pic:pic>
                    </a:graphicData>
                  </a:graphic>
                </wp:inline>
              </w:drawing>
            </w:r>
          </w:p>
        </w:tc>
        <w:tc>
          <w:tcPr>
            <w:tcW w:w="2500" w:type="pct"/>
            <w:tcBorders>
              <w:top w:val="single" w:sz="4" w:space="0" w:color="auto"/>
            </w:tcBorders>
          </w:tcPr>
          <w:p w14:paraId="295829DC" w14:textId="4FF92C38" w:rsidR="005271B3" w:rsidRDefault="008A17A8" w:rsidP="00D37590">
            <w:r w:rsidRPr="008A17A8">
              <w:rPr>
                <w:noProof/>
              </w:rPr>
              <w:drawing>
                <wp:inline distT="0" distB="0" distL="0" distR="0" wp14:anchorId="25225203" wp14:editId="47ADA4CE">
                  <wp:extent cx="4352925" cy="2295525"/>
                  <wp:effectExtent l="0" t="0" r="0" b="952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352925" cy="2295525"/>
                          </a:xfrm>
                          <a:prstGeom prst="rect">
                            <a:avLst/>
                          </a:prstGeom>
                          <a:noFill/>
                          <a:ln>
                            <a:noFill/>
                          </a:ln>
                        </pic:spPr>
                      </pic:pic>
                    </a:graphicData>
                  </a:graphic>
                </wp:inline>
              </w:drawing>
            </w:r>
          </w:p>
        </w:tc>
      </w:tr>
      <w:tr w:rsidR="008A17A8" w14:paraId="0AEB2E11" w14:textId="77777777" w:rsidTr="00D37590">
        <w:tc>
          <w:tcPr>
            <w:tcW w:w="2500" w:type="pct"/>
          </w:tcPr>
          <w:p w14:paraId="6B1BA1F8" w14:textId="77777777" w:rsidR="005271B3" w:rsidRPr="00E45E2E" w:rsidRDefault="005271B3" w:rsidP="00D37590">
            <w:pPr>
              <w:rPr>
                <w:sz w:val="16"/>
                <w:szCs w:val="16"/>
              </w:rPr>
            </w:pPr>
            <w:r w:rsidRPr="00E45E2E">
              <w:rPr>
                <w:sz w:val="16"/>
                <w:szCs w:val="16"/>
              </w:rPr>
              <w:t>Source: Merit Stocks, Factset</w:t>
            </w:r>
          </w:p>
        </w:tc>
        <w:tc>
          <w:tcPr>
            <w:tcW w:w="2500" w:type="pct"/>
          </w:tcPr>
          <w:p w14:paraId="1E219F5B" w14:textId="77777777" w:rsidR="005271B3" w:rsidRDefault="005271B3" w:rsidP="00D37590">
            <w:r w:rsidRPr="00E45E2E">
              <w:rPr>
                <w:sz w:val="16"/>
                <w:szCs w:val="16"/>
              </w:rPr>
              <w:t>Source: Merit Stocks, Factset</w:t>
            </w:r>
          </w:p>
        </w:tc>
      </w:tr>
      <w:tr w:rsidR="008A17A8" w14:paraId="38509AE9" w14:textId="77777777" w:rsidTr="00D37590">
        <w:tc>
          <w:tcPr>
            <w:tcW w:w="2500" w:type="pct"/>
          </w:tcPr>
          <w:p w14:paraId="7B530B01" w14:textId="33E25B0D" w:rsidR="005271B3" w:rsidRDefault="005271B3" w:rsidP="00D37590">
            <w:r w:rsidRPr="00E45E2E">
              <w:rPr>
                <w:rFonts w:asciiTheme="majorHAnsi" w:hAnsiTheme="majorHAnsi" w:cstheme="majorHAnsi"/>
                <w:b/>
              </w:rPr>
              <w:t xml:space="preserve">Figure </w:t>
            </w:r>
            <w:r w:rsidR="008A50C5">
              <w:rPr>
                <w:rFonts w:asciiTheme="majorHAnsi" w:hAnsiTheme="majorHAnsi" w:cstheme="majorHAnsi"/>
                <w:b/>
              </w:rPr>
              <w:t>2</w:t>
            </w:r>
            <w:r>
              <w:rPr>
                <w:rFonts w:asciiTheme="majorHAnsi" w:hAnsiTheme="majorHAnsi" w:cstheme="majorHAnsi"/>
                <w:b/>
              </w:rPr>
              <w:t>1</w:t>
            </w:r>
            <w:r w:rsidRPr="00E45E2E">
              <w:rPr>
                <w:rFonts w:asciiTheme="majorHAnsi" w:hAnsiTheme="majorHAnsi" w:cstheme="majorHAnsi"/>
                <w:b/>
              </w:rPr>
              <w:t xml:space="preserve">: FTSE JSE </w:t>
            </w:r>
            <w:r>
              <w:rPr>
                <w:rFonts w:asciiTheme="majorHAnsi" w:hAnsiTheme="majorHAnsi" w:cstheme="majorHAnsi"/>
                <w:b/>
              </w:rPr>
              <w:t>Basic Materials</w:t>
            </w:r>
            <w:r w:rsidRPr="00E45E2E">
              <w:rPr>
                <w:rFonts w:asciiTheme="majorHAnsi" w:hAnsiTheme="majorHAnsi" w:cstheme="majorHAnsi"/>
                <w:b/>
              </w:rPr>
              <w:t xml:space="preserve"> – </w:t>
            </w:r>
            <w:r w:rsidR="0012620C">
              <w:rPr>
                <w:rFonts w:asciiTheme="majorHAnsi" w:hAnsiTheme="majorHAnsi" w:cstheme="majorHAnsi"/>
                <w:b/>
              </w:rPr>
              <w:t>Short Term Valuation</w:t>
            </w:r>
          </w:p>
        </w:tc>
        <w:tc>
          <w:tcPr>
            <w:tcW w:w="2500" w:type="pct"/>
          </w:tcPr>
          <w:p w14:paraId="3BDA147C" w14:textId="16157D35" w:rsidR="005271B3" w:rsidRDefault="005271B3" w:rsidP="00D37590">
            <w:r w:rsidRPr="00E45E2E">
              <w:rPr>
                <w:rFonts w:asciiTheme="majorHAnsi" w:hAnsiTheme="majorHAnsi" w:cstheme="majorHAnsi"/>
                <w:b/>
              </w:rPr>
              <w:t xml:space="preserve">Figure </w:t>
            </w:r>
            <w:r w:rsidR="008A50C5">
              <w:rPr>
                <w:rFonts w:asciiTheme="majorHAnsi" w:hAnsiTheme="majorHAnsi" w:cstheme="majorHAnsi"/>
                <w:b/>
              </w:rPr>
              <w:t>2</w:t>
            </w:r>
            <w:r>
              <w:rPr>
                <w:rFonts w:asciiTheme="majorHAnsi" w:hAnsiTheme="majorHAnsi" w:cstheme="majorHAnsi"/>
                <w:b/>
              </w:rPr>
              <w:t>2</w:t>
            </w:r>
            <w:r w:rsidRPr="00E45E2E">
              <w:rPr>
                <w:rFonts w:asciiTheme="majorHAnsi" w:hAnsiTheme="majorHAnsi" w:cstheme="majorHAnsi"/>
                <w:b/>
              </w:rPr>
              <w:t xml:space="preserve">: FTSE JSE </w:t>
            </w:r>
            <w:r>
              <w:rPr>
                <w:rFonts w:asciiTheme="majorHAnsi" w:hAnsiTheme="majorHAnsi" w:cstheme="majorHAnsi"/>
                <w:b/>
              </w:rPr>
              <w:t>Industrials</w:t>
            </w:r>
            <w:r w:rsidRPr="00E45E2E">
              <w:rPr>
                <w:rFonts w:asciiTheme="majorHAnsi" w:hAnsiTheme="majorHAnsi" w:cstheme="majorHAnsi"/>
                <w:b/>
              </w:rPr>
              <w:t xml:space="preserve"> – </w:t>
            </w:r>
            <w:r w:rsidR="0012620C">
              <w:rPr>
                <w:rFonts w:asciiTheme="majorHAnsi" w:hAnsiTheme="majorHAnsi" w:cstheme="majorHAnsi"/>
                <w:b/>
              </w:rPr>
              <w:t>Short Term Valuation</w:t>
            </w:r>
          </w:p>
        </w:tc>
      </w:tr>
      <w:tr w:rsidR="008A17A8" w14:paraId="7136D125" w14:textId="77777777" w:rsidTr="00D37590">
        <w:tc>
          <w:tcPr>
            <w:tcW w:w="2500" w:type="pct"/>
            <w:tcBorders>
              <w:bottom w:val="single" w:sz="4" w:space="0" w:color="auto"/>
            </w:tcBorders>
          </w:tcPr>
          <w:p w14:paraId="0753A986" w14:textId="0F95E318" w:rsidR="005271B3" w:rsidRDefault="008A17A8" w:rsidP="00D37590">
            <w:r w:rsidRPr="008A17A8">
              <w:rPr>
                <w:noProof/>
              </w:rPr>
              <w:drawing>
                <wp:inline distT="0" distB="0" distL="0" distR="0" wp14:anchorId="0435D52E" wp14:editId="344CA534">
                  <wp:extent cx="4352925" cy="2476500"/>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352925" cy="2476500"/>
                          </a:xfrm>
                          <a:prstGeom prst="rect">
                            <a:avLst/>
                          </a:prstGeom>
                          <a:noFill/>
                          <a:ln>
                            <a:noFill/>
                          </a:ln>
                        </pic:spPr>
                      </pic:pic>
                    </a:graphicData>
                  </a:graphic>
                </wp:inline>
              </w:drawing>
            </w:r>
          </w:p>
        </w:tc>
        <w:tc>
          <w:tcPr>
            <w:tcW w:w="2500" w:type="pct"/>
            <w:tcBorders>
              <w:bottom w:val="single" w:sz="4" w:space="0" w:color="auto"/>
            </w:tcBorders>
          </w:tcPr>
          <w:p w14:paraId="2F9B3B18" w14:textId="2E2C4ABC" w:rsidR="005271B3" w:rsidRDefault="008A17A8" w:rsidP="00D37590">
            <w:r w:rsidRPr="008A17A8">
              <w:rPr>
                <w:noProof/>
              </w:rPr>
              <w:drawing>
                <wp:inline distT="0" distB="0" distL="0" distR="0" wp14:anchorId="743BCD29" wp14:editId="353A86F2">
                  <wp:extent cx="4352925" cy="2419350"/>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352925" cy="2419350"/>
                          </a:xfrm>
                          <a:prstGeom prst="rect">
                            <a:avLst/>
                          </a:prstGeom>
                          <a:noFill/>
                          <a:ln>
                            <a:noFill/>
                          </a:ln>
                        </pic:spPr>
                      </pic:pic>
                    </a:graphicData>
                  </a:graphic>
                </wp:inline>
              </w:drawing>
            </w:r>
          </w:p>
        </w:tc>
      </w:tr>
      <w:tr w:rsidR="008A17A8" w14:paraId="370E9EDC" w14:textId="77777777" w:rsidTr="00D37590">
        <w:tc>
          <w:tcPr>
            <w:tcW w:w="2500" w:type="pct"/>
            <w:tcBorders>
              <w:top w:val="single" w:sz="4" w:space="0" w:color="auto"/>
            </w:tcBorders>
          </w:tcPr>
          <w:p w14:paraId="5F0278F1" w14:textId="77777777" w:rsidR="005271B3" w:rsidRDefault="005271B3" w:rsidP="00D37590">
            <w:r w:rsidRPr="00E45E2E">
              <w:rPr>
                <w:sz w:val="16"/>
                <w:szCs w:val="16"/>
              </w:rPr>
              <w:t>Source: Merit Stocks, Factset</w:t>
            </w:r>
          </w:p>
        </w:tc>
        <w:tc>
          <w:tcPr>
            <w:tcW w:w="2500" w:type="pct"/>
            <w:tcBorders>
              <w:top w:val="single" w:sz="4" w:space="0" w:color="auto"/>
            </w:tcBorders>
          </w:tcPr>
          <w:p w14:paraId="7CE6A32B" w14:textId="77777777" w:rsidR="005271B3" w:rsidRDefault="005271B3" w:rsidP="00D37590">
            <w:r w:rsidRPr="00E45E2E">
              <w:rPr>
                <w:sz w:val="16"/>
                <w:szCs w:val="16"/>
              </w:rPr>
              <w:t>Source: Merit Stocks, Factset</w:t>
            </w:r>
          </w:p>
        </w:tc>
      </w:tr>
    </w:tbl>
    <w:p w14:paraId="239E0B89" w14:textId="6740EEF3" w:rsidR="005271B3" w:rsidRDefault="005271B3" w:rsidP="00EF4AE2">
      <w:pPr>
        <w:spacing w:after="0"/>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79"/>
        <w:gridCol w:w="6979"/>
      </w:tblGrid>
      <w:tr w:rsidR="008A50C5" w14:paraId="365EA69D" w14:textId="77777777" w:rsidTr="00D37590">
        <w:tc>
          <w:tcPr>
            <w:tcW w:w="2500" w:type="pct"/>
            <w:tcBorders>
              <w:bottom w:val="single" w:sz="4" w:space="0" w:color="auto"/>
            </w:tcBorders>
          </w:tcPr>
          <w:p w14:paraId="65883FF7" w14:textId="47CEAEC5" w:rsidR="008A50C5" w:rsidRPr="00E45E2E" w:rsidRDefault="008A50C5" w:rsidP="00D37590">
            <w:pPr>
              <w:rPr>
                <w:rFonts w:asciiTheme="majorHAnsi" w:hAnsiTheme="majorHAnsi" w:cstheme="majorHAnsi"/>
                <w:b/>
              </w:rPr>
            </w:pPr>
            <w:r w:rsidRPr="00E45E2E">
              <w:rPr>
                <w:rFonts w:asciiTheme="majorHAnsi" w:hAnsiTheme="majorHAnsi" w:cstheme="majorHAnsi"/>
                <w:b/>
              </w:rPr>
              <w:t xml:space="preserve">Figure </w:t>
            </w:r>
            <w:r>
              <w:rPr>
                <w:rFonts w:asciiTheme="majorHAnsi" w:hAnsiTheme="majorHAnsi" w:cstheme="majorHAnsi"/>
                <w:b/>
              </w:rPr>
              <w:t>2</w:t>
            </w:r>
            <w:r>
              <w:rPr>
                <w:rFonts w:asciiTheme="majorHAnsi" w:hAnsiTheme="majorHAnsi" w:cstheme="majorHAnsi"/>
                <w:b/>
              </w:rPr>
              <w:t>3</w:t>
            </w:r>
            <w:r w:rsidRPr="00E45E2E">
              <w:rPr>
                <w:rFonts w:asciiTheme="majorHAnsi" w:hAnsiTheme="majorHAnsi" w:cstheme="majorHAnsi"/>
                <w:b/>
              </w:rPr>
              <w:t xml:space="preserve">: FTSE JSE </w:t>
            </w:r>
            <w:r>
              <w:rPr>
                <w:rFonts w:asciiTheme="majorHAnsi" w:hAnsiTheme="majorHAnsi" w:cstheme="majorHAnsi"/>
                <w:b/>
              </w:rPr>
              <w:t>Consumer Goods</w:t>
            </w:r>
            <w:r w:rsidRPr="00E45E2E">
              <w:rPr>
                <w:rFonts w:asciiTheme="majorHAnsi" w:hAnsiTheme="majorHAnsi" w:cstheme="majorHAnsi"/>
                <w:b/>
              </w:rPr>
              <w:t xml:space="preserve"> – </w:t>
            </w:r>
            <w:r w:rsidR="00B01979">
              <w:rPr>
                <w:rFonts w:asciiTheme="majorHAnsi" w:hAnsiTheme="majorHAnsi" w:cstheme="majorHAnsi"/>
                <w:b/>
              </w:rPr>
              <w:t>Short Term Valuation</w:t>
            </w:r>
          </w:p>
        </w:tc>
        <w:tc>
          <w:tcPr>
            <w:tcW w:w="2500" w:type="pct"/>
            <w:tcBorders>
              <w:bottom w:val="single" w:sz="4" w:space="0" w:color="auto"/>
            </w:tcBorders>
          </w:tcPr>
          <w:p w14:paraId="370ADA1F" w14:textId="6B979B5F" w:rsidR="008A50C5" w:rsidRDefault="008A50C5" w:rsidP="00D37590">
            <w:r w:rsidRPr="00E45E2E">
              <w:rPr>
                <w:rFonts w:asciiTheme="majorHAnsi" w:hAnsiTheme="majorHAnsi" w:cstheme="majorHAnsi"/>
                <w:b/>
              </w:rPr>
              <w:t xml:space="preserve">Figure </w:t>
            </w:r>
            <w:r>
              <w:rPr>
                <w:rFonts w:asciiTheme="majorHAnsi" w:hAnsiTheme="majorHAnsi" w:cstheme="majorHAnsi"/>
                <w:b/>
              </w:rPr>
              <w:t>2</w:t>
            </w:r>
            <w:r>
              <w:rPr>
                <w:rFonts w:asciiTheme="majorHAnsi" w:hAnsiTheme="majorHAnsi" w:cstheme="majorHAnsi"/>
                <w:b/>
              </w:rPr>
              <w:t>4</w:t>
            </w:r>
            <w:r w:rsidRPr="00E45E2E">
              <w:rPr>
                <w:rFonts w:asciiTheme="majorHAnsi" w:hAnsiTheme="majorHAnsi" w:cstheme="majorHAnsi"/>
                <w:b/>
              </w:rPr>
              <w:t xml:space="preserve">: FTSE JSE </w:t>
            </w:r>
            <w:r>
              <w:rPr>
                <w:rFonts w:asciiTheme="majorHAnsi" w:hAnsiTheme="majorHAnsi" w:cstheme="majorHAnsi"/>
                <w:b/>
              </w:rPr>
              <w:t>Health Care</w:t>
            </w:r>
            <w:r w:rsidRPr="00E45E2E">
              <w:rPr>
                <w:rFonts w:asciiTheme="majorHAnsi" w:hAnsiTheme="majorHAnsi" w:cstheme="majorHAnsi"/>
                <w:b/>
              </w:rPr>
              <w:t xml:space="preserve"> – </w:t>
            </w:r>
            <w:r w:rsidR="008A17A8">
              <w:rPr>
                <w:rFonts w:asciiTheme="majorHAnsi" w:hAnsiTheme="majorHAnsi" w:cstheme="majorHAnsi"/>
                <w:b/>
              </w:rPr>
              <w:t>Short Term Valuation</w:t>
            </w:r>
          </w:p>
        </w:tc>
      </w:tr>
      <w:tr w:rsidR="008A50C5" w14:paraId="431524B9" w14:textId="77777777" w:rsidTr="00D37590">
        <w:tc>
          <w:tcPr>
            <w:tcW w:w="2500" w:type="pct"/>
            <w:tcBorders>
              <w:top w:val="single" w:sz="4" w:space="0" w:color="auto"/>
            </w:tcBorders>
          </w:tcPr>
          <w:p w14:paraId="682A9638" w14:textId="08FC4478" w:rsidR="008A50C5" w:rsidRDefault="008A17A8" w:rsidP="00D37590">
            <w:r w:rsidRPr="008A17A8">
              <w:rPr>
                <w:noProof/>
              </w:rPr>
              <w:drawing>
                <wp:inline distT="0" distB="0" distL="0" distR="0" wp14:anchorId="50DB5B93" wp14:editId="74E5AC66">
                  <wp:extent cx="4352925" cy="2286000"/>
                  <wp:effectExtent l="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352925" cy="2286000"/>
                          </a:xfrm>
                          <a:prstGeom prst="rect">
                            <a:avLst/>
                          </a:prstGeom>
                          <a:noFill/>
                          <a:ln>
                            <a:noFill/>
                          </a:ln>
                        </pic:spPr>
                      </pic:pic>
                    </a:graphicData>
                  </a:graphic>
                </wp:inline>
              </w:drawing>
            </w:r>
          </w:p>
        </w:tc>
        <w:tc>
          <w:tcPr>
            <w:tcW w:w="2500" w:type="pct"/>
            <w:tcBorders>
              <w:top w:val="single" w:sz="4" w:space="0" w:color="auto"/>
            </w:tcBorders>
          </w:tcPr>
          <w:p w14:paraId="44D1E398" w14:textId="70598F38" w:rsidR="008A50C5" w:rsidRDefault="008A17A8" w:rsidP="00D37590">
            <w:r w:rsidRPr="008A17A8">
              <w:rPr>
                <w:noProof/>
              </w:rPr>
              <w:drawing>
                <wp:inline distT="0" distB="0" distL="0" distR="0" wp14:anchorId="36D83D8C" wp14:editId="32AF2F05">
                  <wp:extent cx="4257675" cy="22860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257675" cy="2286000"/>
                          </a:xfrm>
                          <a:prstGeom prst="rect">
                            <a:avLst/>
                          </a:prstGeom>
                          <a:noFill/>
                          <a:ln>
                            <a:noFill/>
                          </a:ln>
                        </pic:spPr>
                      </pic:pic>
                    </a:graphicData>
                  </a:graphic>
                </wp:inline>
              </w:drawing>
            </w:r>
          </w:p>
        </w:tc>
      </w:tr>
      <w:tr w:rsidR="008A50C5" w14:paraId="56205E29" w14:textId="77777777" w:rsidTr="00D37590">
        <w:tc>
          <w:tcPr>
            <w:tcW w:w="2500" w:type="pct"/>
          </w:tcPr>
          <w:p w14:paraId="1D2E9344" w14:textId="77777777" w:rsidR="008A50C5" w:rsidRPr="00E45E2E" w:rsidRDefault="008A50C5" w:rsidP="00D37590">
            <w:pPr>
              <w:rPr>
                <w:sz w:val="16"/>
                <w:szCs w:val="16"/>
              </w:rPr>
            </w:pPr>
            <w:r w:rsidRPr="00E45E2E">
              <w:rPr>
                <w:sz w:val="16"/>
                <w:szCs w:val="16"/>
              </w:rPr>
              <w:t>Source: Merit Stocks, Factset</w:t>
            </w:r>
          </w:p>
        </w:tc>
        <w:tc>
          <w:tcPr>
            <w:tcW w:w="2500" w:type="pct"/>
          </w:tcPr>
          <w:p w14:paraId="1ED46B2D" w14:textId="77777777" w:rsidR="008A50C5" w:rsidRDefault="008A50C5" w:rsidP="00D37590">
            <w:r w:rsidRPr="00E45E2E">
              <w:rPr>
                <w:sz w:val="16"/>
                <w:szCs w:val="16"/>
              </w:rPr>
              <w:t>Source: Merit Stocks, Factset</w:t>
            </w:r>
          </w:p>
        </w:tc>
      </w:tr>
      <w:tr w:rsidR="008A50C5" w14:paraId="10EC6BD1" w14:textId="77777777" w:rsidTr="00D37590">
        <w:tc>
          <w:tcPr>
            <w:tcW w:w="2500" w:type="pct"/>
          </w:tcPr>
          <w:p w14:paraId="32C9294E" w14:textId="4597E4E7" w:rsidR="008A50C5" w:rsidRDefault="008A50C5" w:rsidP="00D37590">
            <w:r w:rsidRPr="00E45E2E">
              <w:rPr>
                <w:rFonts w:asciiTheme="majorHAnsi" w:hAnsiTheme="majorHAnsi" w:cstheme="majorHAnsi"/>
                <w:b/>
              </w:rPr>
              <w:t xml:space="preserve">Figure </w:t>
            </w:r>
            <w:r>
              <w:rPr>
                <w:rFonts w:asciiTheme="majorHAnsi" w:hAnsiTheme="majorHAnsi" w:cstheme="majorHAnsi"/>
                <w:b/>
              </w:rPr>
              <w:t>2</w:t>
            </w:r>
            <w:r>
              <w:rPr>
                <w:rFonts w:asciiTheme="majorHAnsi" w:hAnsiTheme="majorHAnsi" w:cstheme="majorHAnsi"/>
                <w:b/>
              </w:rPr>
              <w:t>5</w:t>
            </w:r>
            <w:r w:rsidRPr="00E45E2E">
              <w:rPr>
                <w:rFonts w:asciiTheme="majorHAnsi" w:hAnsiTheme="majorHAnsi" w:cstheme="majorHAnsi"/>
                <w:b/>
              </w:rPr>
              <w:t xml:space="preserve">: FTSE JSE </w:t>
            </w:r>
            <w:r>
              <w:rPr>
                <w:rFonts w:asciiTheme="majorHAnsi" w:hAnsiTheme="majorHAnsi" w:cstheme="majorHAnsi"/>
                <w:b/>
              </w:rPr>
              <w:t>Consumer Services</w:t>
            </w:r>
            <w:r w:rsidRPr="00E45E2E">
              <w:rPr>
                <w:rFonts w:asciiTheme="majorHAnsi" w:hAnsiTheme="majorHAnsi" w:cstheme="majorHAnsi"/>
                <w:b/>
              </w:rPr>
              <w:t xml:space="preserve"> – </w:t>
            </w:r>
            <w:r w:rsidR="008A17A8">
              <w:rPr>
                <w:rFonts w:asciiTheme="majorHAnsi" w:hAnsiTheme="majorHAnsi" w:cstheme="majorHAnsi"/>
                <w:b/>
              </w:rPr>
              <w:t>Short Term Valuation</w:t>
            </w:r>
          </w:p>
        </w:tc>
        <w:tc>
          <w:tcPr>
            <w:tcW w:w="2500" w:type="pct"/>
          </w:tcPr>
          <w:p w14:paraId="6A426A14" w14:textId="26CF1172" w:rsidR="008A50C5" w:rsidRDefault="008A50C5" w:rsidP="00D37590">
            <w:r w:rsidRPr="00E45E2E">
              <w:rPr>
                <w:rFonts w:asciiTheme="majorHAnsi" w:hAnsiTheme="majorHAnsi" w:cstheme="majorHAnsi"/>
                <w:b/>
              </w:rPr>
              <w:t xml:space="preserve">Figure </w:t>
            </w:r>
            <w:r>
              <w:rPr>
                <w:rFonts w:asciiTheme="majorHAnsi" w:hAnsiTheme="majorHAnsi" w:cstheme="majorHAnsi"/>
                <w:b/>
              </w:rPr>
              <w:t>2</w:t>
            </w:r>
            <w:r>
              <w:rPr>
                <w:rFonts w:asciiTheme="majorHAnsi" w:hAnsiTheme="majorHAnsi" w:cstheme="majorHAnsi"/>
                <w:b/>
              </w:rPr>
              <w:t>6</w:t>
            </w:r>
            <w:r w:rsidRPr="00E45E2E">
              <w:rPr>
                <w:rFonts w:asciiTheme="majorHAnsi" w:hAnsiTheme="majorHAnsi" w:cstheme="majorHAnsi"/>
                <w:b/>
              </w:rPr>
              <w:t xml:space="preserve">: FTSE JSE </w:t>
            </w:r>
            <w:r>
              <w:rPr>
                <w:rFonts w:asciiTheme="majorHAnsi" w:hAnsiTheme="majorHAnsi" w:cstheme="majorHAnsi"/>
                <w:b/>
              </w:rPr>
              <w:t>Telecommunications</w:t>
            </w:r>
            <w:r w:rsidRPr="00E45E2E">
              <w:rPr>
                <w:rFonts w:asciiTheme="majorHAnsi" w:hAnsiTheme="majorHAnsi" w:cstheme="majorHAnsi"/>
                <w:b/>
              </w:rPr>
              <w:t xml:space="preserve"> – </w:t>
            </w:r>
            <w:r w:rsidR="008A17A8">
              <w:rPr>
                <w:rFonts w:asciiTheme="majorHAnsi" w:hAnsiTheme="majorHAnsi" w:cstheme="majorHAnsi"/>
                <w:b/>
              </w:rPr>
              <w:t>Short Term Valuation</w:t>
            </w:r>
          </w:p>
        </w:tc>
      </w:tr>
      <w:tr w:rsidR="008A50C5" w14:paraId="0CB2F859" w14:textId="77777777" w:rsidTr="00D37590">
        <w:tc>
          <w:tcPr>
            <w:tcW w:w="2500" w:type="pct"/>
            <w:tcBorders>
              <w:bottom w:val="single" w:sz="4" w:space="0" w:color="auto"/>
            </w:tcBorders>
          </w:tcPr>
          <w:p w14:paraId="58F0EFA4" w14:textId="57319836" w:rsidR="008A50C5" w:rsidRDefault="008A17A8" w:rsidP="00D37590">
            <w:r w:rsidRPr="008A17A8">
              <w:rPr>
                <w:noProof/>
              </w:rPr>
              <w:drawing>
                <wp:inline distT="0" distB="0" distL="0" distR="0" wp14:anchorId="24A946D5" wp14:editId="68479FDF">
                  <wp:extent cx="4352925" cy="2505075"/>
                  <wp:effectExtent l="0" t="0" r="0" b="9525"/>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352925" cy="2505075"/>
                          </a:xfrm>
                          <a:prstGeom prst="rect">
                            <a:avLst/>
                          </a:prstGeom>
                          <a:noFill/>
                          <a:ln>
                            <a:noFill/>
                          </a:ln>
                        </pic:spPr>
                      </pic:pic>
                    </a:graphicData>
                  </a:graphic>
                </wp:inline>
              </w:drawing>
            </w:r>
          </w:p>
        </w:tc>
        <w:tc>
          <w:tcPr>
            <w:tcW w:w="2500" w:type="pct"/>
            <w:tcBorders>
              <w:bottom w:val="single" w:sz="4" w:space="0" w:color="auto"/>
            </w:tcBorders>
          </w:tcPr>
          <w:p w14:paraId="2E2641B1" w14:textId="308E93DB" w:rsidR="008A50C5" w:rsidRDefault="008A17A8" w:rsidP="00D37590">
            <w:r w:rsidRPr="008A17A8">
              <w:rPr>
                <w:noProof/>
              </w:rPr>
              <w:drawing>
                <wp:inline distT="0" distB="0" distL="0" distR="0" wp14:anchorId="68CB03EF" wp14:editId="252C8CDD">
                  <wp:extent cx="4352925" cy="2505075"/>
                  <wp:effectExtent l="0" t="0" r="0" b="9525"/>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352925" cy="2505075"/>
                          </a:xfrm>
                          <a:prstGeom prst="rect">
                            <a:avLst/>
                          </a:prstGeom>
                          <a:noFill/>
                          <a:ln>
                            <a:noFill/>
                          </a:ln>
                        </pic:spPr>
                      </pic:pic>
                    </a:graphicData>
                  </a:graphic>
                </wp:inline>
              </w:drawing>
            </w:r>
          </w:p>
        </w:tc>
      </w:tr>
      <w:tr w:rsidR="008A50C5" w14:paraId="6D084053" w14:textId="77777777" w:rsidTr="00D37590">
        <w:tc>
          <w:tcPr>
            <w:tcW w:w="2500" w:type="pct"/>
            <w:tcBorders>
              <w:top w:val="single" w:sz="4" w:space="0" w:color="auto"/>
            </w:tcBorders>
          </w:tcPr>
          <w:p w14:paraId="48EE2807" w14:textId="77777777" w:rsidR="008A50C5" w:rsidRDefault="008A50C5" w:rsidP="00D37590">
            <w:r w:rsidRPr="00E45E2E">
              <w:rPr>
                <w:sz w:val="16"/>
                <w:szCs w:val="16"/>
              </w:rPr>
              <w:t>Source: Merit Stocks, Factset</w:t>
            </w:r>
          </w:p>
        </w:tc>
        <w:tc>
          <w:tcPr>
            <w:tcW w:w="2500" w:type="pct"/>
            <w:tcBorders>
              <w:top w:val="single" w:sz="4" w:space="0" w:color="auto"/>
            </w:tcBorders>
          </w:tcPr>
          <w:p w14:paraId="73826922" w14:textId="77777777" w:rsidR="008A50C5" w:rsidRDefault="008A50C5" w:rsidP="00D37590">
            <w:r w:rsidRPr="00E45E2E">
              <w:rPr>
                <w:sz w:val="16"/>
                <w:szCs w:val="16"/>
              </w:rPr>
              <w:t>Source: Merit Stocks, Factset</w:t>
            </w:r>
          </w:p>
        </w:tc>
      </w:tr>
    </w:tbl>
    <w:p w14:paraId="411BE0B4" w14:textId="77777777" w:rsidR="008A50C5" w:rsidRDefault="008A50C5" w:rsidP="00EF4AE2">
      <w:pPr>
        <w:spacing w:after="0"/>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79"/>
        <w:gridCol w:w="6979"/>
      </w:tblGrid>
      <w:tr w:rsidR="00E3021D" w14:paraId="61A0749D" w14:textId="77777777" w:rsidTr="00D37590">
        <w:tc>
          <w:tcPr>
            <w:tcW w:w="2500" w:type="pct"/>
            <w:tcBorders>
              <w:bottom w:val="single" w:sz="4" w:space="0" w:color="auto"/>
            </w:tcBorders>
          </w:tcPr>
          <w:p w14:paraId="556BCA61" w14:textId="4C647975" w:rsidR="00E3021D" w:rsidRPr="00E45E2E" w:rsidRDefault="00E3021D" w:rsidP="00D37590">
            <w:pPr>
              <w:rPr>
                <w:rFonts w:asciiTheme="majorHAnsi" w:hAnsiTheme="majorHAnsi" w:cstheme="majorHAnsi"/>
                <w:b/>
              </w:rPr>
            </w:pPr>
            <w:r w:rsidRPr="00E45E2E">
              <w:rPr>
                <w:rFonts w:asciiTheme="majorHAnsi" w:hAnsiTheme="majorHAnsi" w:cstheme="majorHAnsi"/>
                <w:b/>
              </w:rPr>
              <w:t xml:space="preserve">Figure </w:t>
            </w:r>
            <w:r w:rsidR="001C5FA7">
              <w:rPr>
                <w:rFonts w:asciiTheme="majorHAnsi" w:hAnsiTheme="majorHAnsi" w:cstheme="majorHAnsi"/>
                <w:b/>
              </w:rPr>
              <w:t>2</w:t>
            </w:r>
            <w:r>
              <w:rPr>
                <w:rFonts w:asciiTheme="majorHAnsi" w:hAnsiTheme="majorHAnsi" w:cstheme="majorHAnsi"/>
                <w:b/>
              </w:rPr>
              <w:t>7</w:t>
            </w:r>
            <w:r w:rsidRPr="00E45E2E">
              <w:rPr>
                <w:rFonts w:asciiTheme="majorHAnsi" w:hAnsiTheme="majorHAnsi" w:cstheme="majorHAnsi"/>
                <w:b/>
              </w:rPr>
              <w:t xml:space="preserve">: FTSE JSE </w:t>
            </w:r>
            <w:r>
              <w:rPr>
                <w:rFonts w:asciiTheme="majorHAnsi" w:hAnsiTheme="majorHAnsi" w:cstheme="majorHAnsi"/>
                <w:b/>
              </w:rPr>
              <w:t>Financials</w:t>
            </w:r>
            <w:r w:rsidRPr="00E45E2E">
              <w:rPr>
                <w:rFonts w:asciiTheme="majorHAnsi" w:hAnsiTheme="majorHAnsi" w:cstheme="majorHAnsi"/>
                <w:b/>
              </w:rPr>
              <w:t xml:space="preserve"> – </w:t>
            </w:r>
            <w:r w:rsidR="001C5FA7">
              <w:rPr>
                <w:rFonts w:asciiTheme="majorHAnsi" w:hAnsiTheme="majorHAnsi" w:cstheme="majorHAnsi"/>
                <w:b/>
              </w:rPr>
              <w:t>Short Term Valuation</w:t>
            </w:r>
          </w:p>
        </w:tc>
        <w:tc>
          <w:tcPr>
            <w:tcW w:w="2500" w:type="pct"/>
            <w:tcBorders>
              <w:bottom w:val="single" w:sz="4" w:space="0" w:color="auto"/>
            </w:tcBorders>
          </w:tcPr>
          <w:p w14:paraId="233FCCCC" w14:textId="65C82992" w:rsidR="00E3021D" w:rsidRDefault="00E3021D" w:rsidP="00D37590">
            <w:r w:rsidRPr="00E45E2E">
              <w:rPr>
                <w:rFonts w:asciiTheme="majorHAnsi" w:hAnsiTheme="majorHAnsi" w:cstheme="majorHAnsi"/>
                <w:b/>
              </w:rPr>
              <w:t xml:space="preserve">Figure </w:t>
            </w:r>
            <w:r w:rsidR="001C5FA7">
              <w:rPr>
                <w:rFonts w:asciiTheme="majorHAnsi" w:hAnsiTheme="majorHAnsi" w:cstheme="majorHAnsi"/>
                <w:b/>
              </w:rPr>
              <w:t>2</w:t>
            </w:r>
            <w:r>
              <w:rPr>
                <w:rFonts w:asciiTheme="majorHAnsi" w:hAnsiTheme="majorHAnsi" w:cstheme="majorHAnsi"/>
                <w:b/>
              </w:rPr>
              <w:t>8</w:t>
            </w:r>
            <w:r w:rsidRPr="00E45E2E">
              <w:rPr>
                <w:rFonts w:asciiTheme="majorHAnsi" w:hAnsiTheme="majorHAnsi" w:cstheme="majorHAnsi"/>
                <w:b/>
              </w:rPr>
              <w:t xml:space="preserve">: FTSE JSE </w:t>
            </w:r>
            <w:r>
              <w:rPr>
                <w:rFonts w:asciiTheme="majorHAnsi" w:hAnsiTheme="majorHAnsi" w:cstheme="majorHAnsi"/>
                <w:b/>
              </w:rPr>
              <w:t>Technology</w:t>
            </w:r>
            <w:r w:rsidRPr="00E45E2E">
              <w:rPr>
                <w:rFonts w:asciiTheme="majorHAnsi" w:hAnsiTheme="majorHAnsi" w:cstheme="majorHAnsi"/>
                <w:b/>
              </w:rPr>
              <w:t xml:space="preserve"> – </w:t>
            </w:r>
            <w:r w:rsidR="001C5FA7">
              <w:rPr>
                <w:rFonts w:asciiTheme="majorHAnsi" w:hAnsiTheme="majorHAnsi" w:cstheme="majorHAnsi"/>
                <w:b/>
              </w:rPr>
              <w:t>Short Term Valuation</w:t>
            </w:r>
          </w:p>
        </w:tc>
      </w:tr>
      <w:tr w:rsidR="00E3021D" w14:paraId="46E5E708" w14:textId="77777777" w:rsidTr="00D37590">
        <w:tc>
          <w:tcPr>
            <w:tcW w:w="2500" w:type="pct"/>
            <w:tcBorders>
              <w:top w:val="single" w:sz="4" w:space="0" w:color="auto"/>
              <w:bottom w:val="single" w:sz="4" w:space="0" w:color="auto"/>
            </w:tcBorders>
          </w:tcPr>
          <w:p w14:paraId="63A6A850" w14:textId="40F3777C" w:rsidR="00E3021D" w:rsidRDefault="008A17A8" w:rsidP="00D37590">
            <w:r w:rsidRPr="008A17A8">
              <w:rPr>
                <w:noProof/>
              </w:rPr>
              <w:drawing>
                <wp:inline distT="0" distB="0" distL="0" distR="0" wp14:anchorId="573B9F52" wp14:editId="4E63444F">
                  <wp:extent cx="4352925" cy="2619375"/>
                  <wp:effectExtent l="0" t="0" r="0" b="9525"/>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352925" cy="2619375"/>
                          </a:xfrm>
                          <a:prstGeom prst="rect">
                            <a:avLst/>
                          </a:prstGeom>
                          <a:noFill/>
                          <a:ln>
                            <a:noFill/>
                          </a:ln>
                        </pic:spPr>
                      </pic:pic>
                    </a:graphicData>
                  </a:graphic>
                </wp:inline>
              </w:drawing>
            </w:r>
          </w:p>
        </w:tc>
        <w:tc>
          <w:tcPr>
            <w:tcW w:w="2500" w:type="pct"/>
            <w:tcBorders>
              <w:top w:val="single" w:sz="4" w:space="0" w:color="auto"/>
              <w:bottom w:val="single" w:sz="4" w:space="0" w:color="auto"/>
            </w:tcBorders>
          </w:tcPr>
          <w:p w14:paraId="0B93F9E1" w14:textId="012854E8" w:rsidR="00E3021D" w:rsidRDefault="008A17A8" w:rsidP="00D37590">
            <w:r w:rsidRPr="008A17A8">
              <w:rPr>
                <w:noProof/>
              </w:rPr>
              <w:drawing>
                <wp:inline distT="0" distB="0" distL="0" distR="0" wp14:anchorId="034E06B3" wp14:editId="6363C044">
                  <wp:extent cx="4352925" cy="2619375"/>
                  <wp:effectExtent l="0" t="0" r="0" b="952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352925" cy="2619375"/>
                          </a:xfrm>
                          <a:prstGeom prst="rect">
                            <a:avLst/>
                          </a:prstGeom>
                          <a:noFill/>
                          <a:ln>
                            <a:noFill/>
                          </a:ln>
                        </pic:spPr>
                      </pic:pic>
                    </a:graphicData>
                  </a:graphic>
                </wp:inline>
              </w:drawing>
            </w:r>
          </w:p>
        </w:tc>
      </w:tr>
      <w:tr w:rsidR="00E3021D" w14:paraId="5D4B1720" w14:textId="77777777" w:rsidTr="00D37590">
        <w:tc>
          <w:tcPr>
            <w:tcW w:w="2500" w:type="pct"/>
            <w:tcBorders>
              <w:top w:val="single" w:sz="4" w:space="0" w:color="auto"/>
            </w:tcBorders>
          </w:tcPr>
          <w:p w14:paraId="7CDD03E1" w14:textId="77777777" w:rsidR="00E3021D" w:rsidRPr="00E45E2E" w:rsidRDefault="00E3021D" w:rsidP="00D37590">
            <w:pPr>
              <w:rPr>
                <w:sz w:val="16"/>
                <w:szCs w:val="16"/>
              </w:rPr>
            </w:pPr>
            <w:r w:rsidRPr="00E45E2E">
              <w:rPr>
                <w:sz w:val="16"/>
                <w:szCs w:val="16"/>
              </w:rPr>
              <w:t>Source: Merit Stocks, Factset</w:t>
            </w:r>
          </w:p>
        </w:tc>
        <w:tc>
          <w:tcPr>
            <w:tcW w:w="2500" w:type="pct"/>
            <w:tcBorders>
              <w:top w:val="single" w:sz="4" w:space="0" w:color="auto"/>
            </w:tcBorders>
          </w:tcPr>
          <w:p w14:paraId="45EAD71C" w14:textId="77777777" w:rsidR="00E3021D" w:rsidRDefault="00E3021D" w:rsidP="00D37590">
            <w:r w:rsidRPr="00E45E2E">
              <w:rPr>
                <w:sz w:val="16"/>
                <w:szCs w:val="16"/>
              </w:rPr>
              <w:t>Source: Merit Stocks, Factset</w:t>
            </w:r>
          </w:p>
        </w:tc>
      </w:tr>
    </w:tbl>
    <w:p w14:paraId="55DD9856" w14:textId="2607B14F" w:rsidR="008A50C5" w:rsidRDefault="008A50C5" w:rsidP="00EF4AE2">
      <w:pPr>
        <w:spacing w:after="0"/>
      </w:pPr>
    </w:p>
    <w:p w14:paraId="1029F35A" w14:textId="34697A65" w:rsidR="00B37DF3" w:rsidRDefault="00B37DF3" w:rsidP="00EF4AE2">
      <w:pPr>
        <w:spacing w:after="0"/>
      </w:pPr>
    </w:p>
    <w:p w14:paraId="4D893F18" w14:textId="254663B9" w:rsidR="00B37DF3" w:rsidRDefault="00B37DF3" w:rsidP="00EF4AE2">
      <w:pPr>
        <w:spacing w:after="0"/>
      </w:pPr>
    </w:p>
    <w:p w14:paraId="186C682E" w14:textId="11E57A7D" w:rsidR="00B37DF3" w:rsidRDefault="00B37DF3" w:rsidP="00EF4AE2">
      <w:pPr>
        <w:spacing w:after="0"/>
      </w:pPr>
    </w:p>
    <w:p w14:paraId="2B98D5B8" w14:textId="214BB230" w:rsidR="00B37DF3" w:rsidRDefault="00B37DF3" w:rsidP="00EF4AE2">
      <w:pPr>
        <w:spacing w:after="0"/>
      </w:pPr>
    </w:p>
    <w:p w14:paraId="6FFF93B5" w14:textId="3AD27067" w:rsidR="00B37DF3" w:rsidRDefault="00B37DF3" w:rsidP="00EF4AE2">
      <w:pPr>
        <w:spacing w:after="0"/>
      </w:pPr>
    </w:p>
    <w:p w14:paraId="362EFDC1" w14:textId="43C9A2E4" w:rsidR="00B37DF3" w:rsidRDefault="00B37DF3" w:rsidP="00EF4AE2">
      <w:pPr>
        <w:spacing w:after="0"/>
      </w:pPr>
    </w:p>
    <w:p w14:paraId="297ACD23" w14:textId="671C760E" w:rsidR="00B37DF3" w:rsidRDefault="00B37DF3" w:rsidP="00EF4AE2">
      <w:pPr>
        <w:spacing w:after="0"/>
      </w:pPr>
    </w:p>
    <w:p w14:paraId="49E9D5B8" w14:textId="2AB8DD7F" w:rsidR="00B37DF3" w:rsidRDefault="00B37DF3" w:rsidP="00EF4AE2">
      <w:pPr>
        <w:spacing w:after="0"/>
      </w:pPr>
    </w:p>
    <w:p w14:paraId="111608F6" w14:textId="15628536" w:rsidR="00B37DF3" w:rsidRDefault="00B37DF3" w:rsidP="00EF4AE2">
      <w:pPr>
        <w:spacing w:after="0"/>
      </w:pPr>
    </w:p>
    <w:p w14:paraId="7F9D12CC" w14:textId="47E7266D" w:rsidR="00B37DF3" w:rsidRDefault="00B37DF3" w:rsidP="00EF4AE2">
      <w:pPr>
        <w:spacing w:after="0"/>
      </w:pPr>
    </w:p>
    <w:p w14:paraId="09BA096E" w14:textId="41086EAB" w:rsidR="00B37DF3" w:rsidRDefault="00B37DF3" w:rsidP="00EF4AE2">
      <w:pPr>
        <w:spacing w:after="0"/>
      </w:pPr>
    </w:p>
    <w:p w14:paraId="7B8A6850" w14:textId="07D0CF3C" w:rsidR="00B37DF3" w:rsidRDefault="00B37DF3" w:rsidP="00EF4AE2">
      <w:pPr>
        <w:spacing w:after="0"/>
      </w:pPr>
    </w:p>
    <w:p w14:paraId="150FE10D" w14:textId="1D395B09" w:rsidR="00B37DF3" w:rsidRDefault="00B37DF3" w:rsidP="00EF4AE2">
      <w:pPr>
        <w:spacing w:after="0"/>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15"/>
        <w:gridCol w:w="6643"/>
      </w:tblGrid>
      <w:tr w:rsidR="006A0983" w14:paraId="389C432B" w14:textId="77777777" w:rsidTr="006A0983">
        <w:tc>
          <w:tcPr>
            <w:tcW w:w="2599" w:type="pct"/>
            <w:tcBorders>
              <w:bottom w:val="single" w:sz="4" w:space="0" w:color="auto"/>
            </w:tcBorders>
          </w:tcPr>
          <w:p w14:paraId="23F38FA3" w14:textId="64DFA7D3" w:rsidR="00B37DF3" w:rsidRPr="00E45E2E" w:rsidRDefault="00B37DF3" w:rsidP="00D37590">
            <w:pPr>
              <w:rPr>
                <w:rFonts w:asciiTheme="majorHAnsi" w:hAnsiTheme="majorHAnsi" w:cstheme="majorHAnsi"/>
                <w:b/>
              </w:rPr>
            </w:pPr>
            <w:r w:rsidRPr="00E45E2E">
              <w:rPr>
                <w:rFonts w:asciiTheme="majorHAnsi" w:hAnsiTheme="majorHAnsi" w:cstheme="majorHAnsi"/>
                <w:b/>
              </w:rPr>
              <w:t xml:space="preserve">Figure </w:t>
            </w:r>
            <w:r w:rsidR="009F0D2E">
              <w:rPr>
                <w:rFonts w:asciiTheme="majorHAnsi" w:hAnsiTheme="majorHAnsi" w:cstheme="majorHAnsi"/>
                <w:b/>
              </w:rPr>
              <w:t>2</w:t>
            </w:r>
            <w:r>
              <w:rPr>
                <w:rFonts w:asciiTheme="majorHAnsi" w:hAnsiTheme="majorHAnsi" w:cstheme="majorHAnsi"/>
                <w:b/>
              </w:rPr>
              <w:t>9</w:t>
            </w:r>
            <w:r w:rsidRPr="00E45E2E">
              <w:rPr>
                <w:rFonts w:asciiTheme="majorHAnsi" w:hAnsiTheme="majorHAnsi" w:cstheme="majorHAnsi"/>
                <w:b/>
              </w:rPr>
              <w:t xml:space="preserve">: FTSE JSE All Share – </w:t>
            </w:r>
            <w:r w:rsidR="009F0D2E">
              <w:rPr>
                <w:rFonts w:asciiTheme="majorHAnsi" w:hAnsiTheme="majorHAnsi" w:cstheme="majorHAnsi"/>
                <w:b/>
              </w:rPr>
              <w:t>P/E LTM (x)</w:t>
            </w:r>
          </w:p>
        </w:tc>
        <w:tc>
          <w:tcPr>
            <w:tcW w:w="2401" w:type="pct"/>
            <w:tcBorders>
              <w:bottom w:val="single" w:sz="4" w:space="0" w:color="auto"/>
            </w:tcBorders>
          </w:tcPr>
          <w:p w14:paraId="51DA23CD" w14:textId="4E6D75D5" w:rsidR="00B37DF3" w:rsidRDefault="00B37DF3" w:rsidP="00D37590">
            <w:r w:rsidRPr="00E45E2E">
              <w:rPr>
                <w:rFonts w:asciiTheme="majorHAnsi" w:hAnsiTheme="majorHAnsi" w:cstheme="majorHAnsi"/>
                <w:b/>
              </w:rPr>
              <w:t xml:space="preserve">Figure </w:t>
            </w:r>
            <w:r w:rsidR="009F0D2E">
              <w:rPr>
                <w:rFonts w:asciiTheme="majorHAnsi" w:hAnsiTheme="majorHAnsi" w:cstheme="majorHAnsi"/>
                <w:b/>
              </w:rPr>
              <w:t>3</w:t>
            </w:r>
            <w:r>
              <w:rPr>
                <w:rFonts w:asciiTheme="majorHAnsi" w:hAnsiTheme="majorHAnsi" w:cstheme="majorHAnsi"/>
                <w:b/>
              </w:rPr>
              <w:t>0</w:t>
            </w:r>
            <w:r w:rsidRPr="00E45E2E">
              <w:rPr>
                <w:rFonts w:asciiTheme="majorHAnsi" w:hAnsiTheme="majorHAnsi" w:cstheme="majorHAnsi"/>
                <w:b/>
              </w:rPr>
              <w:t xml:space="preserve">: FTSE JSE </w:t>
            </w:r>
            <w:r>
              <w:rPr>
                <w:rFonts w:asciiTheme="majorHAnsi" w:hAnsiTheme="majorHAnsi" w:cstheme="majorHAnsi"/>
                <w:b/>
              </w:rPr>
              <w:t>Oil &amp; Gas</w:t>
            </w:r>
            <w:r w:rsidRPr="00E45E2E">
              <w:rPr>
                <w:rFonts w:asciiTheme="majorHAnsi" w:hAnsiTheme="majorHAnsi" w:cstheme="majorHAnsi"/>
                <w:b/>
              </w:rPr>
              <w:t xml:space="preserve"> – </w:t>
            </w:r>
            <w:r w:rsidR="009F0D2E">
              <w:rPr>
                <w:rFonts w:asciiTheme="majorHAnsi" w:hAnsiTheme="majorHAnsi" w:cstheme="majorHAnsi"/>
                <w:b/>
              </w:rPr>
              <w:t>P/E LTM (x)</w:t>
            </w:r>
          </w:p>
        </w:tc>
      </w:tr>
      <w:tr w:rsidR="006A0983" w14:paraId="28FF798A" w14:textId="77777777" w:rsidTr="006A0983">
        <w:tc>
          <w:tcPr>
            <w:tcW w:w="2599" w:type="pct"/>
            <w:tcBorders>
              <w:top w:val="single" w:sz="4" w:space="0" w:color="auto"/>
            </w:tcBorders>
          </w:tcPr>
          <w:p w14:paraId="5DC99E56" w14:textId="6CCF921B" w:rsidR="00B37DF3" w:rsidRDefault="006A0983" w:rsidP="00D37590">
            <w:r w:rsidRPr="006A0983">
              <w:rPr>
                <w:noProof/>
              </w:rPr>
              <w:drawing>
                <wp:inline distT="0" distB="0" distL="0" distR="0" wp14:anchorId="0C606038" wp14:editId="5188278A">
                  <wp:extent cx="4629150" cy="2390775"/>
                  <wp:effectExtent l="0" t="0" r="0" b="9525"/>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629150" cy="2390775"/>
                          </a:xfrm>
                          <a:prstGeom prst="rect">
                            <a:avLst/>
                          </a:prstGeom>
                          <a:noFill/>
                          <a:ln>
                            <a:noFill/>
                          </a:ln>
                        </pic:spPr>
                      </pic:pic>
                    </a:graphicData>
                  </a:graphic>
                </wp:inline>
              </w:drawing>
            </w:r>
          </w:p>
        </w:tc>
        <w:tc>
          <w:tcPr>
            <w:tcW w:w="2401" w:type="pct"/>
            <w:tcBorders>
              <w:top w:val="single" w:sz="4" w:space="0" w:color="auto"/>
            </w:tcBorders>
          </w:tcPr>
          <w:p w14:paraId="1ACC41A8" w14:textId="230B3901" w:rsidR="00B37DF3" w:rsidRDefault="006A0983" w:rsidP="00D37590">
            <w:r w:rsidRPr="006A0983">
              <w:rPr>
                <w:noProof/>
              </w:rPr>
              <w:drawing>
                <wp:inline distT="0" distB="0" distL="0" distR="0" wp14:anchorId="4C3328FC" wp14:editId="3254B64E">
                  <wp:extent cx="4181475" cy="2390775"/>
                  <wp:effectExtent l="0" t="0" r="9525" b="9525"/>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181475" cy="2390775"/>
                          </a:xfrm>
                          <a:prstGeom prst="rect">
                            <a:avLst/>
                          </a:prstGeom>
                          <a:noFill/>
                          <a:ln>
                            <a:noFill/>
                          </a:ln>
                        </pic:spPr>
                      </pic:pic>
                    </a:graphicData>
                  </a:graphic>
                </wp:inline>
              </w:drawing>
            </w:r>
          </w:p>
        </w:tc>
      </w:tr>
      <w:tr w:rsidR="006A0983" w14:paraId="1891A465" w14:textId="77777777" w:rsidTr="006A0983">
        <w:tc>
          <w:tcPr>
            <w:tcW w:w="2599" w:type="pct"/>
          </w:tcPr>
          <w:p w14:paraId="6BE65CC0" w14:textId="77777777" w:rsidR="00B37DF3" w:rsidRPr="00E45E2E" w:rsidRDefault="00B37DF3" w:rsidP="00D37590">
            <w:pPr>
              <w:rPr>
                <w:sz w:val="16"/>
                <w:szCs w:val="16"/>
              </w:rPr>
            </w:pPr>
            <w:r w:rsidRPr="00E45E2E">
              <w:rPr>
                <w:sz w:val="16"/>
                <w:szCs w:val="16"/>
              </w:rPr>
              <w:t>Source: Merit Stocks, Factset</w:t>
            </w:r>
          </w:p>
        </w:tc>
        <w:tc>
          <w:tcPr>
            <w:tcW w:w="2401" w:type="pct"/>
          </w:tcPr>
          <w:p w14:paraId="7F8125BC" w14:textId="77777777" w:rsidR="00B37DF3" w:rsidRDefault="00B37DF3" w:rsidP="00D37590">
            <w:r w:rsidRPr="00E45E2E">
              <w:rPr>
                <w:sz w:val="16"/>
                <w:szCs w:val="16"/>
              </w:rPr>
              <w:t>Source: Merit Stocks, Factset</w:t>
            </w:r>
          </w:p>
        </w:tc>
      </w:tr>
      <w:tr w:rsidR="006A0983" w14:paraId="02448BA6" w14:textId="77777777" w:rsidTr="006A0983">
        <w:tc>
          <w:tcPr>
            <w:tcW w:w="2599" w:type="pct"/>
          </w:tcPr>
          <w:p w14:paraId="265C7D5A" w14:textId="4057322E" w:rsidR="00B37DF3" w:rsidRDefault="00B37DF3" w:rsidP="00D37590">
            <w:r w:rsidRPr="00E45E2E">
              <w:rPr>
                <w:rFonts w:asciiTheme="majorHAnsi" w:hAnsiTheme="majorHAnsi" w:cstheme="majorHAnsi"/>
                <w:b/>
              </w:rPr>
              <w:t xml:space="preserve">Figure </w:t>
            </w:r>
            <w:r w:rsidR="009F0D2E">
              <w:rPr>
                <w:rFonts w:asciiTheme="majorHAnsi" w:hAnsiTheme="majorHAnsi" w:cstheme="majorHAnsi"/>
                <w:b/>
              </w:rPr>
              <w:t>3</w:t>
            </w:r>
            <w:r>
              <w:rPr>
                <w:rFonts w:asciiTheme="majorHAnsi" w:hAnsiTheme="majorHAnsi" w:cstheme="majorHAnsi"/>
                <w:b/>
              </w:rPr>
              <w:t>1</w:t>
            </w:r>
            <w:r w:rsidRPr="00E45E2E">
              <w:rPr>
                <w:rFonts w:asciiTheme="majorHAnsi" w:hAnsiTheme="majorHAnsi" w:cstheme="majorHAnsi"/>
                <w:b/>
              </w:rPr>
              <w:t xml:space="preserve">: FTSE JSE </w:t>
            </w:r>
            <w:r>
              <w:rPr>
                <w:rFonts w:asciiTheme="majorHAnsi" w:hAnsiTheme="majorHAnsi" w:cstheme="majorHAnsi"/>
                <w:b/>
              </w:rPr>
              <w:t>Basic Materials</w:t>
            </w:r>
            <w:r w:rsidRPr="00E45E2E">
              <w:rPr>
                <w:rFonts w:asciiTheme="majorHAnsi" w:hAnsiTheme="majorHAnsi" w:cstheme="majorHAnsi"/>
                <w:b/>
              </w:rPr>
              <w:t xml:space="preserve"> – </w:t>
            </w:r>
            <w:r w:rsidR="00A13CCB">
              <w:rPr>
                <w:rFonts w:asciiTheme="majorHAnsi" w:hAnsiTheme="majorHAnsi" w:cstheme="majorHAnsi"/>
                <w:b/>
              </w:rPr>
              <w:t>P/E LTM (x)</w:t>
            </w:r>
          </w:p>
        </w:tc>
        <w:tc>
          <w:tcPr>
            <w:tcW w:w="2401" w:type="pct"/>
          </w:tcPr>
          <w:p w14:paraId="4541A42F" w14:textId="697522DC" w:rsidR="00B37DF3" w:rsidRDefault="00B37DF3" w:rsidP="00D37590">
            <w:r w:rsidRPr="00E45E2E">
              <w:rPr>
                <w:rFonts w:asciiTheme="majorHAnsi" w:hAnsiTheme="majorHAnsi" w:cstheme="majorHAnsi"/>
                <w:b/>
              </w:rPr>
              <w:t xml:space="preserve">Figure </w:t>
            </w:r>
            <w:r w:rsidR="009F0D2E">
              <w:rPr>
                <w:rFonts w:asciiTheme="majorHAnsi" w:hAnsiTheme="majorHAnsi" w:cstheme="majorHAnsi"/>
                <w:b/>
              </w:rPr>
              <w:t>3</w:t>
            </w:r>
            <w:r>
              <w:rPr>
                <w:rFonts w:asciiTheme="majorHAnsi" w:hAnsiTheme="majorHAnsi" w:cstheme="majorHAnsi"/>
                <w:b/>
              </w:rPr>
              <w:t>2</w:t>
            </w:r>
            <w:r w:rsidRPr="00E45E2E">
              <w:rPr>
                <w:rFonts w:asciiTheme="majorHAnsi" w:hAnsiTheme="majorHAnsi" w:cstheme="majorHAnsi"/>
                <w:b/>
              </w:rPr>
              <w:t xml:space="preserve">: FTSE JSE </w:t>
            </w:r>
            <w:r>
              <w:rPr>
                <w:rFonts w:asciiTheme="majorHAnsi" w:hAnsiTheme="majorHAnsi" w:cstheme="majorHAnsi"/>
                <w:b/>
              </w:rPr>
              <w:t>Industrials</w:t>
            </w:r>
            <w:r w:rsidRPr="00E45E2E">
              <w:rPr>
                <w:rFonts w:asciiTheme="majorHAnsi" w:hAnsiTheme="majorHAnsi" w:cstheme="majorHAnsi"/>
                <w:b/>
              </w:rPr>
              <w:t xml:space="preserve"> – </w:t>
            </w:r>
            <w:r w:rsidR="00AA266E">
              <w:rPr>
                <w:rFonts w:asciiTheme="majorHAnsi" w:hAnsiTheme="majorHAnsi" w:cstheme="majorHAnsi"/>
                <w:b/>
              </w:rPr>
              <w:t>P/E LTM (x)</w:t>
            </w:r>
          </w:p>
        </w:tc>
      </w:tr>
      <w:tr w:rsidR="006A0983" w14:paraId="395ED1DE" w14:textId="77777777" w:rsidTr="006A0983">
        <w:tc>
          <w:tcPr>
            <w:tcW w:w="2599" w:type="pct"/>
            <w:tcBorders>
              <w:bottom w:val="single" w:sz="4" w:space="0" w:color="auto"/>
            </w:tcBorders>
          </w:tcPr>
          <w:p w14:paraId="1AAE1A5A" w14:textId="1968CD0A" w:rsidR="00B37DF3" w:rsidRDefault="006A0983" w:rsidP="00D37590">
            <w:r w:rsidRPr="006A0983">
              <w:rPr>
                <w:noProof/>
              </w:rPr>
              <w:drawing>
                <wp:inline distT="0" distB="0" distL="0" distR="0" wp14:anchorId="3E192D9F" wp14:editId="4F98B58C">
                  <wp:extent cx="4486275" cy="2371725"/>
                  <wp:effectExtent l="0" t="0" r="9525" b="9525"/>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486275" cy="2371725"/>
                          </a:xfrm>
                          <a:prstGeom prst="rect">
                            <a:avLst/>
                          </a:prstGeom>
                          <a:noFill/>
                          <a:ln>
                            <a:noFill/>
                          </a:ln>
                        </pic:spPr>
                      </pic:pic>
                    </a:graphicData>
                  </a:graphic>
                </wp:inline>
              </w:drawing>
            </w:r>
          </w:p>
        </w:tc>
        <w:tc>
          <w:tcPr>
            <w:tcW w:w="2401" w:type="pct"/>
            <w:tcBorders>
              <w:bottom w:val="single" w:sz="4" w:space="0" w:color="auto"/>
            </w:tcBorders>
          </w:tcPr>
          <w:p w14:paraId="2435A745" w14:textId="7AF8585E" w:rsidR="00B37DF3" w:rsidRDefault="006A0983" w:rsidP="00D37590">
            <w:r w:rsidRPr="006A0983">
              <w:rPr>
                <w:noProof/>
              </w:rPr>
              <w:drawing>
                <wp:inline distT="0" distB="0" distL="0" distR="0" wp14:anchorId="246314A6" wp14:editId="324D00B0">
                  <wp:extent cx="4181475" cy="2371725"/>
                  <wp:effectExtent l="0" t="0" r="9525" b="952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181475" cy="2371725"/>
                          </a:xfrm>
                          <a:prstGeom prst="rect">
                            <a:avLst/>
                          </a:prstGeom>
                          <a:noFill/>
                          <a:ln>
                            <a:noFill/>
                          </a:ln>
                        </pic:spPr>
                      </pic:pic>
                    </a:graphicData>
                  </a:graphic>
                </wp:inline>
              </w:drawing>
            </w:r>
          </w:p>
        </w:tc>
      </w:tr>
      <w:tr w:rsidR="006A0983" w14:paraId="771ACBF5" w14:textId="77777777" w:rsidTr="006A0983">
        <w:tc>
          <w:tcPr>
            <w:tcW w:w="2599" w:type="pct"/>
            <w:tcBorders>
              <w:top w:val="single" w:sz="4" w:space="0" w:color="auto"/>
            </w:tcBorders>
          </w:tcPr>
          <w:p w14:paraId="05A5F649" w14:textId="77777777" w:rsidR="00B37DF3" w:rsidRDefault="00B37DF3" w:rsidP="00D37590">
            <w:r w:rsidRPr="00E45E2E">
              <w:rPr>
                <w:sz w:val="16"/>
                <w:szCs w:val="16"/>
              </w:rPr>
              <w:t>Source: Merit Stocks, Factset</w:t>
            </w:r>
          </w:p>
        </w:tc>
        <w:tc>
          <w:tcPr>
            <w:tcW w:w="2401" w:type="pct"/>
            <w:tcBorders>
              <w:top w:val="single" w:sz="4" w:space="0" w:color="auto"/>
            </w:tcBorders>
          </w:tcPr>
          <w:p w14:paraId="4AE610AE" w14:textId="77777777" w:rsidR="00B37DF3" w:rsidRDefault="00B37DF3" w:rsidP="00D37590">
            <w:r w:rsidRPr="00E45E2E">
              <w:rPr>
                <w:sz w:val="16"/>
                <w:szCs w:val="16"/>
              </w:rPr>
              <w:t>Source: Merit Stocks, Factset</w:t>
            </w:r>
          </w:p>
        </w:tc>
      </w:tr>
    </w:tbl>
    <w:p w14:paraId="3C661B4C" w14:textId="6B46DBC9" w:rsidR="00B37DF3" w:rsidRDefault="00B37DF3" w:rsidP="00EF4AE2">
      <w:pPr>
        <w:spacing w:after="0"/>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24"/>
        <w:gridCol w:w="6934"/>
      </w:tblGrid>
      <w:tr w:rsidR="00B36484" w14:paraId="5A308167" w14:textId="77777777" w:rsidTr="00D37590">
        <w:tc>
          <w:tcPr>
            <w:tcW w:w="2500" w:type="pct"/>
            <w:tcBorders>
              <w:bottom w:val="single" w:sz="4" w:space="0" w:color="auto"/>
            </w:tcBorders>
          </w:tcPr>
          <w:p w14:paraId="50096E1C" w14:textId="6D05F9CC" w:rsidR="00394635" w:rsidRPr="00E45E2E" w:rsidRDefault="00394635" w:rsidP="00D37590">
            <w:pPr>
              <w:rPr>
                <w:rFonts w:asciiTheme="majorHAnsi" w:hAnsiTheme="majorHAnsi" w:cstheme="majorHAnsi"/>
                <w:b/>
              </w:rPr>
            </w:pPr>
            <w:r w:rsidRPr="00E45E2E">
              <w:rPr>
                <w:rFonts w:asciiTheme="majorHAnsi" w:hAnsiTheme="majorHAnsi" w:cstheme="majorHAnsi"/>
                <w:b/>
              </w:rPr>
              <w:t xml:space="preserve">Figure </w:t>
            </w:r>
            <w:r>
              <w:rPr>
                <w:rFonts w:asciiTheme="majorHAnsi" w:hAnsiTheme="majorHAnsi" w:cstheme="majorHAnsi"/>
                <w:b/>
              </w:rPr>
              <w:t>3</w:t>
            </w:r>
            <w:r>
              <w:rPr>
                <w:rFonts w:asciiTheme="majorHAnsi" w:hAnsiTheme="majorHAnsi" w:cstheme="majorHAnsi"/>
                <w:b/>
              </w:rPr>
              <w:t>3</w:t>
            </w:r>
            <w:r w:rsidRPr="00E45E2E">
              <w:rPr>
                <w:rFonts w:asciiTheme="majorHAnsi" w:hAnsiTheme="majorHAnsi" w:cstheme="majorHAnsi"/>
                <w:b/>
              </w:rPr>
              <w:t xml:space="preserve">: FTSE JSE </w:t>
            </w:r>
            <w:r>
              <w:rPr>
                <w:rFonts w:asciiTheme="majorHAnsi" w:hAnsiTheme="majorHAnsi" w:cstheme="majorHAnsi"/>
                <w:b/>
              </w:rPr>
              <w:t>Consumer Goods</w:t>
            </w:r>
            <w:r w:rsidRPr="00E45E2E">
              <w:rPr>
                <w:rFonts w:asciiTheme="majorHAnsi" w:hAnsiTheme="majorHAnsi" w:cstheme="majorHAnsi"/>
                <w:b/>
              </w:rPr>
              <w:t xml:space="preserve"> – </w:t>
            </w:r>
            <w:r>
              <w:rPr>
                <w:rFonts w:asciiTheme="majorHAnsi" w:hAnsiTheme="majorHAnsi" w:cstheme="majorHAnsi"/>
                <w:b/>
              </w:rPr>
              <w:t>P/E LTM (x)</w:t>
            </w:r>
          </w:p>
        </w:tc>
        <w:tc>
          <w:tcPr>
            <w:tcW w:w="2500" w:type="pct"/>
            <w:tcBorders>
              <w:bottom w:val="single" w:sz="4" w:space="0" w:color="auto"/>
            </w:tcBorders>
          </w:tcPr>
          <w:p w14:paraId="14D21306" w14:textId="29230DD1" w:rsidR="00394635" w:rsidRDefault="00394635" w:rsidP="00D37590">
            <w:r w:rsidRPr="00E45E2E">
              <w:rPr>
                <w:rFonts w:asciiTheme="majorHAnsi" w:hAnsiTheme="majorHAnsi" w:cstheme="majorHAnsi"/>
                <w:b/>
              </w:rPr>
              <w:t xml:space="preserve">Figure </w:t>
            </w:r>
            <w:r w:rsidR="004441F9">
              <w:rPr>
                <w:rFonts w:asciiTheme="majorHAnsi" w:hAnsiTheme="majorHAnsi" w:cstheme="majorHAnsi"/>
                <w:b/>
              </w:rPr>
              <w:t>3</w:t>
            </w:r>
            <w:r>
              <w:rPr>
                <w:rFonts w:asciiTheme="majorHAnsi" w:hAnsiTheme="majorHAnsi" w:cstheme="majorHAnsi"/>
                <w:b/>
              </w:rPr>
              <w:t>4</w:t>
            </w:r>
            <w:r w:rsidRPr="00E45E2E">
              <w:rPr>
                <w:rFonts w:asciiTheme="majorHAnsi" w:hAnsiTheme="majorHAnsi" w:cstheme="majorHAnsi"/>
                <w:b/>
              </w:rPr>
              <w:t xml:space="preserve">: FTSE JSE </w:t>
            </w:r>
            <w:r>
              <w:rPr>
                <w:rFonts w:asciiTheme="majorHAnsi" w:hAnsiTheme="majorHAnsi" w:cstheme="majorHAnsi"/>
                <w:b/>
              </w:rPr>
              <w:t>Health Care</w:t>
            </w:r>
            <w:r w:rsidRPr="00E45E2E">
              <w:rPr>
                <w:rFonts w:asciiTheme="majorHAnsi" w:hAnsiTheme="majorHAnsi" w:cstheme="majorHAnsi"/>
                <w:b/>
              </w:rPr>
              <w:t xml:space="preserve"> – </w:t>
            </w:r>
            <w:r w:rsidR="004441F9">
              <w:rPr>
                <w:rFonts w:asciiTheme="majorHAnsi" w:hAnsiTheme="majorHAnsi" w:cstheme="majorHAnsi"/>
                <w:b/>
              </w:rPr>
              <w:t>P/E LTM (x)</w:t>
            </w:r>
          </w:p>
        </w:tc>
      </w:tr>
      <w:tr w:rsidR="00B36484" w14:paraId="091620EA" w14:textId="77777777" w:rsidTr="00D37590">
        <w:tc>
          <w:tcPr>
            <w:tcW w:w="2500" w:type="pct"/>
            <w:tcBorders>
              <w:top w:val="single" w:sz="4" w:space="0" w:color="auto"/>
            </w:tcBorders>
          </w:tcPr>
          <w:p w14:paraId="11E13D6A" w14:textId="276FBCFC" w:rsidR="00394635" w:rsidRDefault="00F31662" w:rsidP="00D37590">
            <w:r w:rsidRPr="00F31662">
              <w:rPr>
                <w:noProof/>
              </w:rPr>
              <w:drawing>
                <wp:inline distT="0" distB="0" distL="0" distR="0" wp14:anchorId="026C1D1F" wp14:editId="63C91551">
                  <wp:extent cx="4333875" cy="2286000"/>
                  <wp:effectExtent l="0" t="0" r="9525"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333875" cy="2286000"/>
                          </a:xfrm>
                          <a:prstGeom prst="rect">
                            <a:avLst/>
                          </a:prstGeom>
                          <a:noFill/>
                          <a:ln>
                            <a:noFill/>
                          </a:ln>
                        </pic:spPr>
                      </pic:pic>
                    </a:graphicData>
                  </a:graphic>
                </wp:inline>
              </w:drawing>
            </w:r>
          </w:p>
        </w:tc>
        <w:tc>
          <w:tcPr>
            <w:tcW w:w="2500" w:type="pct"/>
            <w:tcBorders>
              <w:top w:val="single" w:sz="4" w:space="0" w:color="auto"/>
            </w:tcBorders>
          </w:tcPr>
          <w:p w14:paraId="08FDBBB1" w14:textId="52C61F66" w:rsidR="00394635" w:rsidRDefault="00B36484" w:rsidP="00D37590">
            <w:r w:rsidRPr="00B36484">
              <w:rPr>
                <w:noProof/>
              </w:rPr>
              <w:drawing>
                <wp:inline distT="0" distB="0" distL="0" distR="0" wp14:anchorId="5F67AE6B" wp14:editId="6750D4D8">
                  <wp:extent cx="4276725" cy="2286000"/>
                  <wp:effectExtent l="0" t="0" r="9525"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276725" cy="2286000"/>
                          </a:xfrm>
                          <a:prstGeom prst="rect">
                            <a:avLst/>
                          </a:prstGeom>
                          <a:noFill/>
                          <a:ln>
                            <a:noFill/>
                          </a:ln>
                        </pic:spPr>
                      </pic:pic>
                    </a:graphicData>
                  </a:graphic>
                </wp:inline>
              </w:drawing>
            </w:r>
          </w:p>
        </w:tc>
      </w:tr>
      <w:tr w:rsidR="00B36484" w14:paraId="692F9A32" w14:textId="77777777" w:rsidTr="00D37590">
        <w:tc>
          <w:tcPr>
            <w:tcW w:w="2500" w:type="pct"/>
          </w:tcPr>
          <w:p w14:paraId="30F9598C" w14:textId="77777777" w:rsidR="00394635" w:rsidRPr="00E45E2E" w:rsidRDefault="00394635" w:rsidP="00D37590">
            <w:pPr>
              <w:rPr>
                <w:sz w:val="16"/>
                <w:szCs w:val="16"/>
              </w:rPr>
            </w:pPr>
            <w:r w:rsidRPr="00E45E2E">
              <w:rPr>
                <w:sz w:val="16"/>
                <w:szCs w:val="16"/>
              </w:rPr>
              <w:t>Source: Merit Stocks, Factset</w:t>
            </w:r>
          </w:p>
        </w:tc>
        <w:tc>
          <w:tcPr>
            <w:tcW w:w="2500" w:type="pct"/>
          </w:tcPr>
          <w:p w14:paraId="68ED0D99" w14:textId="77777777" w:rsidR="00394635" w:rsidRDefault="00394635" w:rsidP="00D37590">
            <w:r w:rsidRPr="00E45E2E">
              <w:rPr>
                <w:sz w:val="16"/>
                <w:szCs w:val="16"/>
              </w:rPr>
              <w:t>Source: Merit Stocks, Factset</w:t>
            </w:r>
          </w:p>
        </w:tc>
      </w:tr>
      <w:tr w:rsidR="00B36484" w14:paraId="57FEE376" w14:textId="77777777" w:rsidTr="00D37590">
        <w:tc>
          <w:tcPr>
            <w:tcW w:w="2500" w:type="pct"/>
          </w:tcPr>
          <w:p w14:paraId="623B546B" w14:textId="686D67EB" w:rsidR="00394635" w:rsidRDefault="00394635" w:rsidP="00D37590">
            <w:r w:rsidRPr="00E45E2E">
              <w:rPr>
                <w:rFonts w:asciiTheme="majorHAnsi" w:hAnsiTheme="majorHAnsi" w:cstheme="majorHAnsi"/>
                <w:b/>
              </w:rPr>
              <w:t xml:space="preserve">Figure </w:t>
            </w:r>
            <w:r w:rsidR="004441F9">
              <w:rPr>
                <w:rFonts w:asciiTheme="majorHAnsi" w:hAnsiTheme="majorHAnsi" w:cstheme="majorHAnsi"/>
                <w:b/>
              </w:rPr>
              <w:t>3</w:t>
            </w:r>
            <w:r>
              <w:rPr>
                <w:rFonts w:asciiTheme="majorHAnsi" w:hAnsiTheme="majorHAnsi" w:cstheme="majorHAnsi"/>
                <w:b/>
              </w:rPr>
              <w:t>5</w:t>
            </w:r>
            <w:r w:rsidRPr="00E45E2E">
              <w:rPr>
                <w:rFonts w:asciiTheme="majorHAnsi" w:hAnsiTheme="majorHAnsi" w:cstheme="majorHAnsi"/>
                <w:b/>
              </w:rPr>
              <w:t xml:space="preserve">: FTSE JSE </w:t>
            </w:r>
            <w:r>
              <w:rPr>
                <w:rFonts w:asciiTheme="majorHAnsi" w:hAnsiTheme="majorHAnsi" w:cstheme="majorHAnsi"/>
                <w:b/>
              </w:rPr>
              <w:t>Consumer Services</w:t>
            </w:r>
            <w:r w:rsidRPr="00E45E2E">
              <w:rPr>
                <w:rFonts w:asciiTheme="majorHAnsi" w:hAnsiTheme="majorHAnsi" w:cstheme="majorHAnsi"/>
                <w:b/>
              </w:rPr>
              <w:t xml:space="preserve"> – </w:t>
            </w:r>
            <w:r w:rsidR="004441F9">
              <w:rPr>
                <w:rFonts w:asciiTheme="majorHAnsi" w:hAnsiTheme="majorHAnsi" w:cstheme="majorHAnsi"/>
                <w:b/>
              </w:rPr>
              <w:t>P/E LTM (x)</w:t>
            </w:r>
          </w:p>
        </w:tc>
        <w:tc>
          <w:tcPr>
            <w:tcW w:w="2500" w:type="pct"/>
          </w:tcPr>
          <w:p w14:paraId="19226810" w14:textId="22368CCF" w:rsidR="00394635" w:rsidRDefault="00394635" w:rsidP="00D37590">
            <w:r w:rsidRPr="00E45E2E">
              <w:rPr>
                <w:rFonts w:asciiTheme="majorHAnsi" w:hAnsiTheme="majorHAnsi" w:cstheme="majorHAnsi"/>
                <w:b/>
              </w:rPr>
              <w:t xml:space="preserve">Figure </w:t>
            </w:r>
            <w:r w:rsidR="004441F9">
              <w:rPr>
                <w:rFonts w:asciiTheme="majorHAnsi" w:hAnsiTheme="majorHAnsi" w:cstheme="majorHAnsi"/>
                <w:b/>
              </w:rPr>
              <w:t>3</w:t>
            </w:r>
            <w:r>
              <w:rPr>
                <w:rFonts w:asciiTheme="majorHAnsi" w:hAnsiTheme="majorHAnsi" w:cstheme="majorHAnsi"/>
                <w:b/>
              </w:rPr>
              <w:t>6</w:t>
            </w:r>
            <w:r w:rsidRPr="00E45E2E">
              <w:rPr>
                <w:rFonts w:asciiTheme="majorHAnsi" w:hAnsiTheme="majorHAnsi" w:cstheme="majorHAnsi"/>
                <w:b/>
              </w:rPr>
              <w:t xml:space="preserve">: FTSE JSE </w:t>
            </w:r>
            <w:r>
              <w:rPr>
                <w:rFonts w:asciiTheme="majorHAnsi" w:hAnsiTheme="majorHAnsi" w:cstheme="majorHAnsi"/>
                <w:b/>
              </w:rPr>
              <w:t>Telecommunications</w:t>
            </w:r>
            <w:r w:rsidRPr="00E45E2E">
              <w:rPr>
                <w:rFonts w:asciiTheme="majorHAnsi" w:hAnsiTheme="majorHAnsi" w:cstheme="majorHAnsi"/>
                <w:b/>
              </w:rPr>
              <w:t xml:space="preserve"> – </w:t>
            </w:r>
            <w:r w:rsidR="004441F9">
              <w:rPr>
                <w:rFonts w:asciiTheme="majorHAnsi" w:hAnsiTheme="majorHAnsi" w:cstheme="majorHAnsi"/>
                <w:b/>
              </w:rPr>
              <w:t>P/E LTM (x)</w:t>
            </w:r>
          </w:p>
        </w:tc>
      </w:tr>
      <w:tr w:rsidR="00B36484" w14:paraId="35CC87ED" w14:textId="77777777" w:rsidTr="00D37590">
        <w:tc>
          <w:tcPr>
            <w:tcW w:w="2500" w:type="pct"/>
            <w:tcBorders>
              <w:bottom w:val="single" w:sz="4" w:space="0" w:color="auto"/>
            </w:tcBorders>
          </w:tcPr>
          <w:p w14:paraId="686901CD" w14:textId="4806BF41" w:rsidR="00394635" w:rsidRDefault="00B36484" w:rsidP="00D37590">
            <w:r w:rsidRPr="00B36484">
              <w:rPr>
                <w:noProof/>
              </w:rPr>
              <w:drawing>
                <wp:inline distT="0" distB="0" distL="0" distR="0" wp14:anchorId="5227222F" wp14:editId="17EC9923">
                  <wp:extent cx="4333875" cy="2505075"/>
                  <wp:effectExtent l="0" t="0" r="9525" b="9525"/>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333875" cy="2505075"/>
                          </a:xfrm>
                          <a:prstGeom prst="rect">
                            <a:avLst/>
                          </a:prstGeom>
                          <a:noFill/>
                          <a:ln>
                            <a:noFill/>
                          </a:ln>
                        </pic:spPr>
                      </pic:pic>
                    </a:graphicData>
                  </a:graphic>
                </wp:inline>
              </w:drawing>
            </w:r>
          </w:p>
        </w:tc>
        <w:tc>
          <w:tcPr>
            <w:tcW w:w="2500" w:type="pct"/>
            <w:tcBorders>
              <w:bottom w:val="single" w:sz="4" w:space="0" w:color="auto"/>
            </w:tcBorders>
          </w:tcPr>
          <w:p w14:paraId="1F7710CF" w14:textId="1701316B" w:rsidR="00394635" w:rsidRDefault="00B36484" w:rsidP="00D37590">
            <w:r w:rsidRPr="00B36484">
              <w:rPr>
                <w:noProof/>
              </w:rPr>
              <w:drawing>
                <wp:inline distT="0" distB="0" distL="0" distR="0" wp14:anchorId="6EA1575C" wp14:editId="0E76FD52">
                  <wp:extent cx="4276725" cy="2352675"/>
                  <wp:effectExtent l="0" t="0" r="9525" b="952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276725" cy="2352675"/>
                          </a:xfrm>
                          <a:prstGeom prst="rect">
                            <a:avLst/>
                          </a:prstGeom>
                          <a:noFill/>
                          <a:ln>
                            <a:noFill/>
                          </a:ln>
                        </pic:spPr>
                      </pic:pic>
                    </a:graphicData>
                  </a:graphic>
                </wp:inline>
              </w:drawing>
            </w:r>
          </w:p>
        </w:tc>
      </w:tr>
      <w:tr w:rsidR="00B36484" w14:paraId="4F8EECF4" w14:textId="77777777" w:rsidTr="00D37590">
        <w:tc>
          <w:tcPr>
            <w:tcW w:w="2500" w:type="pct"/>
            <w:tcBorders>
              <w:top w:val="single" w:sz="4" w:space="0" w:color="auto"/>
            </w:tcBorders>
          </w:tcPr>
          <w:p w14:paraId="028767D1" w14:textId="77777777" w:rsidR="00394635" w:rsidRDefault="00394635" w:rsidP="00D37590">
            <w:r w:rsidRPr="00E45E2E">
              <w:rPr>
                <w:sz w:val="16"/>
                <w:szCs w:val="16"/>
              </w:rPr>
              <w:t>Source: Merit Stocks, Factset</w:t>
            </w:r>
          </w:p>
        </w:tc>
        <w:tc>
          <w:tcPr>
            <w:tcW w:w="2500" w:type="pct"/>
            <w:tcBorders>
              <w:top w:val="single" w:sz="4" w:space="0" w:color="auto"/>
            </w:tcBorders>
          </w:tcPr>
          <w:p w14:paraId="1FA672CD" w14:textId="77777777" w:rsidR="00394635" w:rsidRDefault="00394635" w:rsidP="00D37590">
            <w:r w:rsidRPr="00E45E2E">
              <w:rPr>
                <w:sz w:val="16"/>
                <w:szCs w:val="16"/>
              </w:rPr>
              <w:t>Source: Merit Stocks, Factset</w:t>
            </w:r>
          </w:p>
        </w:tc>
      </w:tr>
    </w:tbl>
    <w:p w14:paraId="186AB0B2" w14:textId="675EE6C4" w:rsidR="00394635" w:rsidRDefault="00394635" w:rsidP="00EF4AE2">
      <w:pPr>
        <w:spacing w:after="0"/>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38"/>
        <w:gridCol w:w="6920"/>
      </w:tblGrid>
      <w:tr w:rsidR="00D756D7" w14:paraId="151F9409" w14:textId="77777777" w:rsidTr="00D37590">
        <w:tc>
          <w:tcPr>
            <w:tcW w:w="2500" w:type="pct"/>
            <w:tcBorders>
              <w:bottom w:val="single" w:sz="4" w:space="0" w:color="auto"/>
            </w:tcBorders>
          </w:tcPr>
          <w:p w14:paraId="13ACC5D5" w14:textId="7F40227E" w:rsidR="00D756D7" w:rsidRPr="00E45E2E" w:rsidRDefault="00D756D7" w:rsidP="00D37590">
            <w:pPr>
              <w:rPr>
                <w:rFonts w:asciiTheme="majorHAnsi" w:hAnsiTheme="majorHAnsi" w:cstheme="majorHAnsi"/>
                <w:b/>
              </w:rPr>
            </w:pPr>
            <w:r w:rsidRPr="00E45E2E">
              <w:rPr>
                <w:rFonts w:asciiTheme="majorHAnsi" w:hAnsiTheme="majorHAnsi" w:cstheme="majorHAnsi"/>
                <w:b/>
              </w:rPr>
              <w:t xml:space="preserve">Figure </w:t>
            </w:r>
            <w:r>
              <w:rPr>
                <w:rFonts w:asciiTheme="majorHAnsi" w:hAnsiTheme="majorHAnsi" w:cstheme="majorHAnsi"/>
                <w:b/>
              </w:rPr>
              <w:t>3</w:t>
            </w:r>
            <w:r>
              <w:rPr>
                <w:rFonts w:asciiTheme="majorHAnsi" w:hAnsiTheme="majorHAnsi" w:cstheme="majorHAnsi"/>
                <w:b/>
              </w:rPr>
              <w:t>7</w:t>
            </w:r>
            <w:r w:rsidRPr="00E45E2E">
              <w:rPr>
                <w:rFonts w:asciiTheme="majorHAnsi" w:hAnsiTheme="majorHAnsi" w:cstheme="majorHAnsi"/>
                <w:b/>
              </w:rPr>
              <w:t xml:space="preserve">: FTSE JSE </w:t>
            </w:r>
            <w:r>
              <w:rPr>
                <w:rFonts w:asciiTheme="majorHAnsi" w:hAnsiTheme="majorHAnsi" w:cstheme="majorHAnsi"/>
                <w:b/>
              </w:rPr>
              <w:t>Financials</w:t>
            </w:r>
            <w:r w:rsidRPr="00E45E2E">
              <w:rPr>
                <w:rFonts w:asciiTheme="majorHAnsi" w:hAnsiTheme="majorHAnsi" w:cstheme="majorHAnsi"/>
                <w:b/>
              </w:rPr>
              <w:t xml:space="preserve"> – </w:t>
            </w:r>
            <w:r>
              <w:rPr>
                <w:rFonts w:asciiTheme="majorHAnsi" w:hAnsiTheme="majorHAnsi" w:cstheme="majorHAnsi"/>
                <w:b/>
              </w:rPr>
              <w:t>P/E LTM (x)</w:t>
            </w:r>
          </w:p>
        </w:tc>
        <w:tc>
          <w:tcPr>
            <w:tcW w:w="2500" w:type="pct"/>
            <w:tcBorders>
              <w:bottom w:val="single" w:sz="4" w:space="0" w:color="auto"/>
            </w:tcBorders>
          </w:tcPr>
          <w:p w14:paraId="662E3120" w14:textId="5FFABA12" w:rsidR="00D756D7" w:rsidRDefault="00D756D7" w:rsidP="00D37590">
            <w:r w:rsidRPr="00E45E2E">
              <w:rPr>
                <w:rFonts w:asciiTheme="majorHAnsi" w:hAnsiTheme="majorHAnsi" w:cstheme="majorHAnsi"/>
                <w:b/>
              </w:rPr>
              <w:t xml:space="preserve">Figure </w:t>
            </w:r>
            <w:r>
              <w:rPr>
                <w:rFonts w:asciiTheme="majorHAnsi" w:hAnsiTheme="majorHAnsi" w:cstheme="majorHAnsi"/>
                <w:b/>
              </w:rPr>
              <w:t>3</w:t>
            </w:r>
            <w:r>
              <w:rPr>
                <w:rFonts w:asciiTheme="majorHAnsi" w:hAnsiTheme="majorHAnsi" w:cstheme="majorHAnsi"/>
                <w:b/>
              </w:rPr>
              <w:t>8</w:t>
            </w:r>
            <w:r w:rsidRPr="00E45E2E">
              <w:rPr>
                <w:rFonts w:asciiTheme="majorHAnsi" w:hAnsiTheme="majorHAnsi" w:cstheme="majorHAnsi"/>
                <w:b/>
              </w:rPr>
              <w:t xml:space="preserve">: FTSE JSE </w:t>
            </w:r>
            <w:r>
              <w:rPr>
                <w:rFonts w:asciiTheme="majorHAnsi" w:hAnsiTheme="majorHAnsi" w:cstheme="majorHAnsi"/>
                <w:b/>
              </w:rPr>
              <w:t>Technology</w:t>
            </w:r>
            <w:r w:rsidRPr="00E45E2E">
              <w:rPr>
                <w:rFonts w:asciiTheme="majorHAnsi" w:hAnsiTheme="majorHAnsi" w:cstheme="majorHAnsi"/>
                <w:b/>
              </w:rPr>
              <w:t xml:space="preserve"> – </w:t>
            </w:r>
            <w:r w:rsidR="00F416FF">
              <w:rPr>
                <w:rFonts w:asciiTheme="majorHAnsi" w:hAnsiTheme="majorHAnsi" w:cstheme="majorHAnsi"/>
                <w:b/>
              </w:rPr>
              <w:t>P/E LTM (x)</w:t>
            </w:r>
          </w:p>
        </w:tc>
      </w:tr>
      <w:tr w:rsidR="00D756D7" w14:paraId="02D8CAD8" w14:textId="77777777" w:rsidTr="00D37590">
        <w:tc>
          <w:tcPr>
            <w:tcW w:w="2500" w:type="pct"/>
            <w:tcBorders>
              <w:top w:val="single" w:sz="4" w:space="0" w:color="auto"/>
              <w:bottom w:val="single" w:sz="4" w:space="0" w:color="auto"/>
            </w:tcBorders>
          </w:tcPr>
          <w:p w14:paraId="777ED6F6" w14:textId="36026E95" w:rsidR="00D756D7" w:rsidRDefault="00D756D7" w:rsidP="00D37590">
            <w:r w:rsidRPr="00D756D7">
              <w:rPr>
                <w:noProof/>
              </w:rPr>
              <w:drawing>
                <wp:inline distT="0" distB="0" distL="0" distR="0" wp14:anchorId="0265FF05" wp14:editId="5C0B2356">
                  <wp:extent cx="4419600" cy="2619375"/>
                  <wp:effectExtent l="0" t="0" r="0" b="9525"/>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419600" cy="2619375"/>
                          </a:xfrm>
                          <a:prstGeom prst="rect">
                            <a:avLst/>
                          </a:prstGeom>
                          <a:noFill/>
                          <a:ln>
                            <a:noFill/>
                          </a:ln>
                        </pic:spPr>
                      </pic:pic>
                    </a:graphicData>
                  </a:graphic>
                </wp:inline>
              </w:drawing>
            </w:r>
          </w:p>
        </w:tc>
        <w:tc>
          <w:tcPr>
            <w:tcW w:w="2500" w:type="pct"/>
            <w:tcBorders>
              <w:top w:val="single" w:sz="4" w:space="0" w:color="auto"/>
              <w:bottom w:val="single" w:sz="4" w:space="0" w:color="auto"/>
            </w:tcBorders>
          </w:tcPr>
          <w:p w14:paraId="58099653" w14:textId="034A4DE1" w:rsidR="00D756D7" w:rsidRDefault="00D756D7" w:rsidP="00D37590">
            <w:r w:rsidRPr="00D756D7">
              <w:rPr>
                <w:noProof/>
              </w:rPr>
              <w:drawing>
                <wp:inline distT="0" distB="0" distL="0" distR="0" wp14:anchorId="171B3BB0" wp14:editId="12D8F4B1">
                  <wp:extent cx="4343400" cy="2619375"/>
                  <wp:effectExtent l="0" t="0" r="0" b="9525"/>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343400" cy="2619375"/>
                          </a:xfrm>
                          <a:prstGeom prst="rect">
                            <a:avLst/>
                          </a:prstGeom>
                          <a:noFill/>
                          <a:ln>
                            <a:noFill/>
                          </a:ln>
                        </pic:spPr>
                      </pic:pic>
                    </a:graphicData>
                  </a:graphic>
                </wp:inline>
              </w:drawing>
            </w:r>
          </w:p>
        </w:tc>
        <w:bookmarkStart w:id="0" w:name="_GoBack"/>
        <w:bookmarkEnd w:id="0"/>
      </w:tr>
      <w:tr w:rsidR="00D756D7" w14:paraId="7C559244" w14:textId="77777777" w:rsidTr="00D37590">
        <w:tc>
          <w:tcPr>
            <w:tcW w:w="2500" w:type="pct"/>
            <w:tcBorders>
              <w:top w:val="single" w:sz="4" w:space="0" w:color="auto"/>
            </w:tcBorders>
          </w:tcPr>
          <w:p w14:paraId="51EA6808" w14:textId="77777777" w:rsidR="00D756D7" w:rsidRPr="00E45E2E" w:rsidRDefault="00D756D7" w:rsidP="00D37590">
            <w:pPr>
              <w:rPr>
                <w:sz w:val="16"/>
                <w:szCs w:val="16"/>
              </w:rPr>
            </w:pPr>
            <w:r w:rsidRPr="00E45E2E">
              <w:rPr>
                <w:sz w:val="16"/>
                <w:szCs w:val="16"/>
              </w:rPr>
              <w:t>Source: Merit Stocks, Factset</w:t>
            </w:r>
          </w:p>
        </w:tc>
        <w:tc>
          <w:tcPr>
            <w:tcW w:w="2500" w:type="pct"/>
            <w:tcBorders>
              <w:top w:val="single" w:sz="4" w:space="0" w:color="auto"/>
            </w:tcBorders>
          </w:tcPr>
          <w:p w14:paraId="28A5D127" w14:textId="77777777" w:rsidR="00D756D7" w:rsidRDefault="00D756D7" w:rsidP="00D37590">
            <w:r w:rsidRPr="00E45E2E">
              <w:rPr>
                <w:sz w:val="16"/>
                <w:szCs w:val="16"/>
              </w:rPr>
              <w:t>Source: Merit Stocks, Factset</w:t>
            </w:r>
          </w:p>
        </w:tc>
      </w:tr>
    </w:tbl>
    <w:p w14:paraId="3EC7D7C0" w14:textId="77777777" w:rsidR="00D756D7" w:rsidRDefault="00D756D7" w:rsidP="00EF4AE2">
      <w:pPr>
        <w:spacing w:after="0"/>
      </w:pPr>
    </w:p>
    <w:sectPr w:rsidR="00D756D7" w:rsidSect="004C0E81">
      <w:headerReference w:type="default" r:id="rId31"/>
      <w:footerReference w:type="default" r:id="rId32"/>
      <w:pgSz w:w="16838" w:h="11906" w:orient="landscape"/>
      <w:pgMar w:top="1440" w:right="1440" w:bottom="1440" w:left="1440" w:header="34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97E123" w14:textId="77777777" w:rsidR="002A2E01" w:rsidRDefault="002A2E01" w:rsidP="00546203">
      <w:pPr>
        <w:spacing w:after="0" w:line="240" w:lineRule="auto"/>
      </w:pPr>
      <w:r>
        <w:separator/>
      </w:r>
    </w:p>
  </w:endnote>
  <w:endnote w:type="continuationSeparator" w:id="0">
    <w:p w14:paraId="6E31E1D4" w14:textId="77777777" w:rsidR="002A2E01" w:rsidRDefault="002A2E01" w:rsidP="005462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2AEF" w:usb1="4000207B" w:usb2="00000000"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639" w:type="dxa"/>
      <w:tblBorders>
        <w:top w:val="single" w:sz="4" w:space="0" w:color="767171" w:themeColor="background2" w:themeShade="80"/>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33"/>
      <w:gridCol w:w="2231"/>
      <w:gridCol w:w="3675"/>
    </w:tblGrid>
    <w:tr w:rsidR="00B03E72" w14:paraId="5F6913F2" w14:textId="77777777" w:rsidTr="00A47769">
      <w:trPr>
        <w:trHeight w:val="61"/>
      </w:trPr>
      <w:tc>
        <w:tcPr>
          <w:tcW w:w="3733" w:type="dxa"/>
        </w:tcPr>
        <w:p w14:paraId="450E6C21" w14:textId="67D085CA" w:rsidR="00B03E72" w:rsidRPr="00D61423" w:rsidRDefault="00B03E72" w:rsidP="00DB5C5E">
          <w:pPr>
            <w:pStyle w:val="Footer"/>
            <w:jc w:val="both"/>
            <w:rPr>
              <w:rStyle w:val="Hyperlink"/>
              <w:sz w:val="20"/>
              <w:szCs w:val="20"/>
            </w:rPr>
          </w:pPr>
          <w:r w:rsidRPr="00D61423">
            <w:rPr>
              <w:sz w:val="20"/>
              <w:szCs w:val="20"/>
            </w:rPr>
            <w:fldChar w:fldCharType="begin"/>
          </w:r>
          <w:r w:rsidRPr="00D61423">
            <w:rPr>
              <w:sz w:val="20"/>
              <w:szCs w:val="20"/>
            </w:rPr>
            <w:instrText>HYPERLINK "http://www.meritstocks.co.za/"</w:instrText>
          </w:r>
          <w:r w:rsidRPr="00D61423">
            <w:rPr>
              <w:sz w:val="20"/>
              <w:szCs w:val="20"/>
            </w:rPr>
            <w:fldChar w:fldCharType="separate"/>
          </w:r>
          <w:r w:rsidRPr="00D61423">
            <w:rPr>
              <w:rStyle w:val="Hyperlink"/>
              <w:color w:val="0000FF"/>
              <w:sz w:val="20"/>
              <w:szCs w:val="20"/>
            </w:rPr>
            <w:t>MeritStocks.co.za</w:t>
          </w:r>
        </w:p>
        <w:p w14:paraId="5556FDF0" w14:textId="77777777" w:rsidR="00B03E72" w:rsidRPr="00D61423" w:rsidRDefault="00B03E72" w:rsidP="00DB5C5E">
          <w:pPr>
            <w:pStyle w:val="Footer"/>
            <w:jc w:val="both"/>
            <w:rPr>
              <w:b/>
              <w:sz w:val="20"/>
              <w:szCs w:val="20"/>
            </w:rPr>
          </w:pPr>
          <w:r w:rsidRPr="00D61423">
            <w:rPr>
              <w:sz w:val="20"/>
              <w:szCs w:val="20"/>
            </w:rPr>
            <w:fldChar w:fldCharType="end"/>
          </w:r>
          <w:r w:rsidRPr="00D61423">
            <w:rPr>
              <w:b/>
              <w:sz w:val="20"/>
              <w:szCs w:val="20"/>
            </w:rPr>
            <w:t>Unauthorised Distribution is Prohibited</w:t>
          </w:r>
        </w:p>
        <w:p w14:paraId="0558B2C3" w14:textId="77777777" w:rsidR="00B03E72" w:rsidRPr="00191871" w:rsidRDefault="00B03E72" w:rsidP="00DB5C5E">
          <w:pPr>
            <w:pStyle w:val="Footer"/>
            <w:jc w:val="both"/>
            <w:rPr>
              <w:color w:val="0000FF"/>
              <w:sz w:val="14"/>
              <w:szCs w:val="14"/>
            </w:rPr>
          </w:pPr>
          <w:hyperlink r:id="rId1" w:history="1">
            <w:r w:rsidRPr="00191871">
              <w:rPr>
                <w:rStyle w:val="Hyperlink"/>
                <w:color w:val="0000FF"/>
                <w:sz w:val="14"/>
                <w:szCs w:val="14"/>
              </w:rPr>
              <w:t>andre@meritstocks.co.za</w:t>
            </w:r>
          </w:hyperlink>
        </w:p>
        <w:p w14:paraId="36CE9CC3" w14:textId="77777777" w:rsidR="00B03E72" w:rsidRPr="00191871" w:rsidRDefault="00B03E72" w:rsidP="00DB5C5E">
          <w:pPr>
            <w:pStyle w:val="Footer"/>
            <w:jc w:val="both"/>
            <w:rPr>
              <w:sz w:val="14"/>
              <w:szCs w:val="14"/>
            </w:rPr>
          </w:pPr>
          <w:r w:rsidRPr="00191871">
            <w:rPr>
              <w:sz w:val="14"/>
              <w:szCs w:val="14"/>
            </w:rPr>
            <w:t>+27 123462348</w:t>
          </w:r>
        </w:p>
        <w:p w14:paraId="2F60A7FA" w14:textId="77777777" w:rsidR="00B03E72" w:rsidRPr="00D7710F" w:rsidRDefault="00B03E72" w:rsidP="00DB5C5E">
          <w:pPr>
            <w:pStyle w:val="Footer"/>
            <w:jc w:val="both"/>
            <w:rPr>
              <w:sz w:val="20"/>
              <w:szCs w:val="20"/>
            </w:rPr>
          </w:pPr>
          <w:r w:rsidRPr="00191871">
            <w:rPr>
              <w:sz w:val="14"/>
              <w:szCs w:val="14"/>
            </w:rPr>
            <w:t>+27 824668995</w:t>
          </w:r>
        </w:p>
      </w:tc>
      <w:tc>
        <w:tcPr>
          <w:tcW w:w="2231" w:type="dxa"/>
        </w:tcPr>
        <w:p w14:paraId="2A18F212" w14:textId="77777777" w:rsidR="00B03E72" w:rsidRDefault="00B03E72" w:rsidP="00DB5C5E">
          <w:pPr>
            <w:pStyle w:val="Footer"/>
            <w:jc w:val="center"/>
            <w:rPr>
              <w:sz w:val="24"/>
              <w:szCs w:val="24"/>
            </w:rPr>
          </w:pPr>
          <w:r w:rsidRPr="00196C17">
            <w:rPr>
              <w:sz w:val="24"/>
              <w:szCs w:val="24"/>
            </w:rPr>
            <w:fldChar w:fldCharType="begin"/>
          </w:r>
          <w:r w:rsidRPr="00196C17">
            <w:rPr>
              <w:sz w:val="24"/>
              <w:szCs w:val="24"/>
            </w:rPr>
            <w:instrText xml:space="preserve"> PAGE    \* MERGEFORMAT </w:instrText>
          </w:r>
          <w:r w:rsidRPr="00196C17">
            <w:rPr>
              <w:sz w:val="24"/>
              <w:szCs w:val="24"/>
            </w:rPr>
            <w:fldChar w:fldCharType="separate"/>
          </w:r>
          <w:r w:rsidRPr="00196C17">
            <w:rPr>
              <w:noProof/>
              <w:sz w:val="24"/>
              <w:szCs w:val="24"/>
            </w:rPr>
            <w:t>1</w:t>
          </w:r>
          <w:r w:rsidRPr="00196C17">
            <w:rPr>
              <w:sz w:val="24"/>
              <w:szCs w:val="24"/>
            </w:rPr>
            <w:fldChar w:fldCharType="end"/>
          </w:r>
        </w:p>
        <w:p w14:paraId="1A0B649F" w14:textId="77777777" w:rsidR="00B03E72" w:rsidRPr="00533BF1" w:rsidRDefault="00B03E72" w:rsidP="00533BF1">
          <w:pPr>
            <w:jc w:val="center"/>
          </w:pPr>
        </w:p>
      </w:tc>
      <w:tc>
        <w:tcPr>
          <w:tcW w:w="3675" w:type="dxa"/>
        </w:tcPr>
        <w:p w14:paraId="421FF790" w14:textId="77777777" w:rsidR="00B03E72" w:rsidRPr="00026B30" w:rsidRDefault="00B03E72" w:rsidP="00DB5C5E">
          <w:pPr>
            <w:pStyle w:val="Footer"/>
            <w:jc w:val="both"/>
            <w:rPr>
              <w:sz w:val="12"/>
              <w:szCs w:val="12"/>
            </w:rPr>
          </w:pPr>
          <w:r w:rsidRPr="00026B30">
            <w:rPr>
              <w:rFonts w:cstheme="minorHAnsi"/>
              <w:sz w:val="12"/>
              <w:szCs w:val="12"/>
            </w:rPr>
            <w:t>©</w:t>
          </w:r>
          <w:r w:rsidRPr="00026B30">
            <w:rPr>
              <w:sz w:val="12"/>
              <w:szCs w:val="12"/>
            </w:rPr>
            <w:t xml:space="preserve"> Copyright 2019, MeritStocks. The information was obtained from sources which MeritStocks believes to be reliable, but we do not guarantee its accuracy. Neither the information, nor any opinion expressed, constitute solicitation of the purchase or sale of any securities or related instruments. MeritStocks is not responsible for any losses incurred from any use of this information.</w:t>
          </w:r>
        </w:p>
      </w:tc>
    </w:tr>
  </w:tbl>
  <w:p w14:paraId="43FDB7AB" w14:textId="777BEA18" w:rsidR="00B03E72" w:rsidRDefault="00B03E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0" w:type="auto"/>
      <w:tblBorders>
        <w:top w:val="single" w:sz="4" w:space="0" w:color="767171" w:themeColor="background2" w:themeShade="80"/>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45"/>
      <w:gridCol w:w="2606"/>
      <w:gridCol w:w="2975"/>
    </w:tblGrid>
    <w:tr w:rsidR="00B03E72" w14:paraId="451119DA" w14:textId="77777777" w:rsidTr="00B03E72">
      <w:trPr>
        <w:trHeight w:val="254"/>
      </w:trPr>
      <w:tc>
        <w:tcPr>
          <w:tcW w:w="5104" w:type="dxa"/>
        </w:tcPr>
        <w:p w14:paraId="53B8012E" w14:textId="77777777" w:rsidR="00B03E72" w:rsidRPr="00D60DBF" w:rsidRDefault="00B03E72" w:rsidP="00FD371A">
          <w:pPr>
            <w:pStyle w:val="Footer"/>
            <w:rPr>
              <w:rStyle w:val="Hyperlink"/>
              <w:sz w:val="24"/>
              <w:szCs w:val="24"/>
            </w:rPr>
          </w:pPr>
          <w:r w:rsidRPr="00B3241C">
            <w:rPr>
              <w:sz w:val="28"/>
              <w:szCs w:val="28"/>
            </w:rPr>
            <w:fldChar w:fldCharType="begin"/>
          </w:r>
          <w:r>
            <w:rPr>
              <w:sz w:val="28"/>
              <w:szCs w:val="28"/>
            </w:rPr>
            <w:instrText>HYPERLINK "http://www.meritstocks.co.za/"</w:instrText>
          </w:r>
          <w:r w:rsidRPr="00B3241C">
            <w:rPr>
              <w:sz w:val="28"/>
              <w:szCs w:val="28"/>
            </w:rPr>
            <w:fldChar w:fldCharType="separate"/>
          </w:r>
          <w:r w:rsidRPr="00D60DBF">
            <w:rPr>
              <w:rStyle w:val="Hyperlink"/>
              <w:color w:val="0000FF"/>
              <w:sz w:val="24"/>
              <w:szCs w:val="24"/>
            </w:rPr>
            <w:t>MeritStocks.co.za</w:t>
          </w:r>
        </w:p>
        <w:p w14:paraId="551223B7" w14:textId="77777777" w:rsidR="00B03E72" w:rsidRDefault="00B03E72" w:rsidP="00FD371A">
          <w:pPr>
            <w:pStyle w:val="Footer"/>
            <w:rPr>
              <w:b/>
              <w:sz w:val="24"/>
              <w:szCs w:val="24"/>
            </w:rPr>
          </w:pPr>
          <w:r w:rsidRPr="00B3241C">
            <w:rPr>
              <w:sz w:val="28"/>
              <w:szCs w:val="28"/>
            </w:rPr>
            <w:fldChar w:fldCharType="end"/>
          </w:r>
          <w:r w:rsidRPr="00B3241C">
            <w:rPr>
              <w:b/>
              <w:sz w:val="24"/>
              <w:szCs w:val="24"/>
            </w:rPr>
            <w:t>Unauthorised Distribution is Prohibited</w:t>
          </w:r>
        </w:p>
        <w:p w14:paraId="33F113CD" w14:textId="77777777" w:rsidR="00B03E72" w:rsidRPr="00D7710F" w:rsidRDefault="00B03E72" w:rsidP="00FD371A">
          <w:pPr>
            <w:pStyle w:val="Footer"/>
            <w:rPr>
              <w:color w:val="0000FF"/>
              <w:sz w:val="16"/>
              <w:szCs w:val="16"/>
            </w:rPr>
          </w:pPr>
          <w:hyperlink r:id="rId1" w:history="1">
            <w:r w:rsidRPr="00D7710F">
              <w:rPr>
                <w:rStyle w:val="Hyperlink"/>
                <w:color w:val="0000FF"/>
                <w:sz w:val="16"/>
                <w:szCs w:val="16"/>
              </w:rPr>
              <w:t>andre@meritstocks.co.za</w:t>
            </w:r>
          </w:hyperlink>
        </w:p>
        <w:p w14:paraId="42915DAA" w14:textId="77777777" w:rsidR="00B03E72" w:rsidRPr="00D7710F" w:rsidRDefault="00B03E72" w:rsidP="00FD371A">
          <w:pPr>
            <w:pStyle w:val="Footer"/>
            <w:rPr>
              <w:sz w:val="16"/>
              <w:szCs w:val="16"/>
            </w:rPr>
          </w:pPr>
          <w:r w:rsidRPr="00D7710F">
            <w:rPr>
              <w:sz w:val="16"/>
              <w:szCs w:val="16"/>
            </w:rPr>
            <w:t>+27 123462348</w:t>
          </w:r>
        </w:p>
        <w:p w14:paraId="5DC31374" w14:textId="77777777" w:rsidR="00B03E72" w:rsidRPr="00D7710F" w:rsidRDefault="00B03E72" w:rsidP="00FD371A">
          <w:pPr>
            <w:pStyle w:val="Footer"/>
            <w:rPr>
              <w:sz w:val="20"/>
              <w:szCs w:val="20"/>
            </w:rPr>
          </w:pPr>
          <w:r w:rsidRPr="00D7710F">
            <w:rPr>
              <w:sz w:val="16"/>
              <w:szCs w:val="16"/>
            </w:rPr>
            <w:t>+27 82466899</w:t>
          </w:r>
          <w:r>
            <w:rPr>
              <w:sz w:val="20"/>
              <w:szCs w:val="20"/>
            </w:rPr>
            <w:t>5</w:t>
          </w:r>
        </w:p>
      </w:tc>
      <w:tc>
        <w:tcPr>
          <w:tcW w:w="5104" w:type="dxa"/>
        </w:tcPr>
        <w:p w14:paraId="1FCE3B09" w14:textId="77777777" w:rsidR="00B03E72" w:rsidRPr="00196C17" w:rsidRDefault="00B03E72" w:rsidP="00FD371A">
          <w:pPr>
            <w:pStyle w:val="Footer"/>
            <w:jc w:val="center"/>
            <w:rPr>
              <w:sz w:val="24"/>
              <w:szCs w:val="24"/>
            </w:rPr>
          </w:pPr>
          <w:r w:rsidRPr="00196C17">
            <w:rPr>
              <w:sz w:val="24"/>
              <w:szCs w:val="24"/>
            </w:rPr>
            <w:fldChar w:fldCharType="begin"/>
          </w:r>
          <w:r w:rsidRPr="00196C17">
            <w:rPr>
              <w:sz w:val="24"/>
              <w:szCs w:val="24"/>
            </w:rPr>
            <w:instrText xml:space="preserve"> PAGE    \* MERGEFORMAT </w:instrText>
          </w:r>
          <w:r w:rsidRPr="00196C17">
            <w:rPr>
              <w:sz w:val="24"/>
              <w:szCs w:val="24"/>
            </w:rPr>
            <w:fldChar w:fldCharType="separate"/>
          </w:r>
          <w:r w:rsidRPr="00196C17">
            <w:rPr>
              <w:noProof/>
              <w:sz w:val="24"/>
              <w:szCs w:val="24"/>
            </w:rPr>
            <w:t>1</w:t>
          </w:r>
          <w:r w:rsidRPr="00196C17">
            <w:rPr>
              <w:sz w:val="24"/>
              <w:szCs w:val="24"/>
            </w:rPr>
            <w:fldChar w:fldCharType="end"/>
          </w:r>
        </w:p>
      </w:tc>
      <w:tc>
        <w:tcPr>
          <w:tcW w:w="5105" w:type="dxa"/>
        </w:tcPr>
        <w:p w14:paraId="45BB7F58" w14:textId="77777777" w:rsidR="00B03E72" w:rsidRPr="006F16C1" w:rsidRDefault="00B03E72" w:rsidP="00FD371A">
          <w:pPr>
            <w:pStyle w:val="Footer"/>
            <w:jc w:val="both"/>
            <w:rPr>
              <w:sz w:val="16"/>
              <w:szCs w:val="16"/>
            </w:rPr>
          </w:pPr>
          <w:r w:rsidRPr="00854BC3">
            <w:rPr>
              <w:rFonts w:cstheme="minorHAnsi"/>
              <w:sz w:val="16"/>
              <w:szCs w:val="16"/>
            </w:rPr>
            <w:t>©</w:t>
          </w:r>
          <w:r w:rsidRPr="00854BC3">
            <w:rPr>
              <w:sz w:val="16"/>
              <w:szCs w:val="16"/>
            </w:rPr>
            <w:t xml:space="preserve"> Copyright 2019, MeritStocks. The information was obtained from sources which MeritStocks believes to be reliable, but we do not guarantee its accuracy. Neither the information, nor any opinion expressed, constitute solicitation of the purchase or sale of any securities or related instruments. MeritStocks is not responsible for any losses incurred from any use of this information</w:t>
          </w:r>
          <w:r w:rsidRPr="006F16C1">
            <w:rPr>
              <w:sz w:val="16"/>
              <w:szCs w:val="16"/>
            </w:rPr>
            <w:t>.</w:t>
          </w:r>
        </w:p>
      </w:tc>
    </w:tr>
  </w:tbl>
  <w:p w14:paraId="042268B4" w14:textId="77777777" w:rsidR="00B03E72" w:rsidRDefault="00B03E72" w:rsidP="00FD371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13860" w:type="dxa"/>
      <w:tblBorders>
        <w:top w:val="single" w:sz="4" w:space="0" w:color="767171" w:themeColor="background2" w:themeShade="80"/>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2"/>
      <w:gridCol w:w="4820"/>
      <w:gridCol w:w="3228"/>
    </w:tblGrid>
    <w:tr w:rsidR="00B03E72" w14:paraId="5EE45E75" w14:textId="77777777" w:rsidTr="000A7E75">
      <w:trPr>
        <w:trHeight w:val="61"/>
      </w:trPr>
      <w:tc>
        <w:tcPr>
          <w:tcW w:w="5812" w:type="dxa"/>
        </w:tcPr>
        <w:p w14:paraId="107B3DF6" w14:textId="77777777" w:rsidR="00B03E72" w:rsidRPr="00D61423" w:rsidRDefault="00B03E72" w:rsidP="00DB5C5E">
          <w:pPr>
            <w:pStyle w:val="Footer"/>
            <w:jc w:val="both"/>
            <w:rPr>
              <w:rStyle w:val="Hyperlink"/>
              <w:sz w:val="20"/>
              <w:szCs w:val="20"/>
            </w:rPr>
          </w:pPr>
          <w:r w:rsidRPr="00D61423">
            <w:rPr>
              <w:sz w:val="20"/>
              <w:szCs w:val="20"/>
            </w:rPr>
            <w:fldChar w:fldCharType="begin"/>
          </w:r>
          <w:r w:rsidRPr="00D61423">
            <w:rPr>
              <w:sz w:val="20"/>
              <w:szCs w:val="20"/>
            </w:rPr>
            <w:instrText>HYPERLINK "http://www.meritstocks.co.za/"</w:instrText>
          </w:r>
          <w:r w:rsidRPr="00D61423">
            <w:rPr>
              <w:sz w:val="20"/>
              <w:szCs w:val="20"/>
            </w:rPr>
            <w:fldChar w:fldCharType="separate"/>
          </w:r>
          <w:r w:rsidRPr="00D61423">
            <w:rPr>
              <w:rStyle w:val="Hyperlink"/>
              <w:color w:val="0000FF"/>
              <w:sz w:val="20"/>
              <w:szCs w:val="20"/>
            </w:rPr>
            <w:t>MeritStocks.co.za</w:t>
          </w:r>
        </w:p>
        <w:p w14:paraId="6304C036" w14:textId="77777777" w:rsidR="00B03E72" w:rsidRPr="00D61423" w:rsidRDefault="00B03E72" w:rsidP="00DB5C5E">
          <w:pPr>
            <w:pStyle w:val="Footer"/>
            <w:jc w:val="both"/>
            <w:rPr>
              <w:b/>
              <w:sz w:val="20"/>
              <w:szCs w:val="20"/>
            </w:rPr>
          </w:pPr>
          <w:r w:rsidRPr="00D61423">
            <w:rPr>
              <w:sz w:val="20"/>
              <w:szCs w:val="20"/>
            </w:rPr>
            <w:fldChar w:fldCharType="end"/>
          </w:r>
          <w:r w:rsidRPr="00D61423">
            <w:rPr>
              <w:b/>
              <w:sz w:val="20"/>
              <w:szCs w:val="20"/>
            </w:rPr>
            <w:t>Unauthorised Distribution is Prohibited</w:t>
          </w:r>
        </w:p>
        <w:p w14:paraId="484EBA26" w14:textId="77777777" w:rsidR="00B03E72" w:rsidRPr="00191871" w:rsidRDefault="00B03E72" w:rsidP="00DB5C5E">
          <w:pPr>
            <w:pStyle w:val="Footer"/>
            <w:jc w:val="both"/>
            <w:rPr>
              <w:color w:val="0000FF"/>
              <w:sz w:val="14"/>
              <w:szCs w:val="14"/>
            </w:rPr>
          </w:pPr>
          <w:hyperlink r:id="rId1" w:history="1">
            <w:r w:rsidRPr="00191871">
              <w:rPr>
                <w:rStyle w:val="Hyperlink"/>
                <w:color w:val="0000FF"/>
                <w:sz w:val="14"/>
                <w:szCs w:val="14"/>
              </w:rPr>
              <w:t>andre@meritstocks.co.za</w:t>
            </w:r>
          </w:hyperlink>
        </w:p>
        <w:p w14:paraId="0F48182D" w14:textId="77777777" w:rsidR="00B03E72" w:rsidRPr="00191871" w:rsidRDefault="00B03E72" w:rsidP="00DB5C5E">
          <w:pPr>
            <w:pStyle w:val="Footer"/>
            <w:jc w:val="both"/>
            <w:rPr>
              <w:sz w:val="14"/>
              <w:szCs w:val="14"/>
            </w:rPr>
          </w:pPr>
          <w:r w:rsidRPr="00191871">
            <w:rPr>
              <w:sz w:val="14"/>
              <w:szCs w:val="14"/>
            </w:rPr>
            <w:t>+27 123462348</w:t>
          </w:r>
        </w:p>
        <w:p w14:paraId="5BD43E0D" w14:textId="77777777" w:rsidR="00B03E72" w:rsidRPr="00D7710F" w:rsidRDefault="00B03E72" w:rsidP="00DB5C5E">
          <w:pPr>
            <w:pStyle w:val="Footer"/>
            <w:jc w:val="both"/>
            <w:rPr>
              <w:sz w:val="20"/>
              <w:szCs w:val="20"/>
            </w:rPr>
          </w:pPr>
          <w:r w:rsidRPr="00191871">
            <w:rPr>
              <w:sz w:val="14"/>
              <w:szCs w:val="14"/>
            </w:rPr>
            <w:t>+27 824668995</w:t>
          </w:r>
        </w:p>
      </w:tc>
      <w:tc>
        <w:tcPr>
          <w:tcW w:w="4820" w:type="dxa"/>
        </w:tcPr>
        <w:p w14:paraId="785D7267" w14:textId="2E49505D" w:rsidR="00B03E72" w:rsidRDefault="00B03E72" w:rsidP="000A7E75">
          <w:pPr>
            <w:pStyle w:val="Footer"/>
            <w:rPr>
              <w:sz w:val="24"/>
              <w:szCs w:val="24"/>
            </w:rPr>
          </w:pPr>
          <w:r>
            <w:rPr>
              <w:sz w:val="24"/>
              <w:szCs w:val="24"/>
            </w:rPr>
            <w:t xml:space="preserve">                 </w:t>
          </w:r>
          <w:r w:rsidRPr="00196C17">
            <w:rPr>
              <w:sz w:val="24"/>
              <w:szCs w:val="24"/>
            </w:rPr>
            <w:fldChar w:fldCharType="begin"/>
          </w:r>
          <w:r w:rsidRPr="00196C17">
            <w:rPr>
              <w:sz w:val="24"/>
              <w:szCs w:val="24"/>
            </w:rPr>
            <w:instrText xml:space="preserve"> PAGE    \* MERGEFORMAT </w:instrText>
          </w:r>
          <w:r w:rsidRPr="00196C17">
            <w:rPr>
              <w:sz w:val="24"/>
              <w:szCs w:val="24"/>
            </w:rPr>
            <w:fldChar w:fldCharType="separate"/>
          </w:r>
          <w:r w:rsidRPr="00196C17">
            <w:rPr>
              <w:noProof/>
              <w:sz w:val="24"/>
              <w:szCs w:val="24"/>
            </w:rPr>
            <w:t>1</w:t>
          </w:r>
          <w:r w:rsidRPr="00196C17">
            <w:rPr>
              <w:sz w:val="24"/>
              <w:szCs w:val="24"/>
            </w:rPr>
            <w:fldChar w:fldCharType="end"/>
          </w:r>
        </w:p>
        <w:p w14:paraId="33FAD906" w14:textId="77777777" w:rsidR="00B03E72" w:rsidRPr="00533BF1" w:rsidRDefault="00B03E72" w:rsidP="00533BF1">
          <w:pPr>
            <w:jc w:val="center"/>
          </w:pPr>
        </w:p>
      </w:tc>
      <w:tc>
        <w:tcPr>
          <w:tcW w:w="3228" w:type="dxa"/>
        </w:tcPr>
        <w:p w14:paraId="39647B8B" w14:textId="77777777" w:rsidR="00B03E72" w:rsidRPr="00026B30" w:rsidRDefault="00B03E72" w:rsidP="00DB5C5E">
          <w:pPr>
            <w:pStyle w:val="Footer"/>
            <w:jc w:val="both"/>
            <w:rPr>
              <w:sz w:val="12"/>
              <w:szCs w:val="12"/>
            </w:rPr>
          </w:pPr>
          <w:r w:rsidRPr="00026B30">
            <w:rPr>
              <w:rFonts w:cstheme="minorHAnsi"/>
              <w:sz w:val="12"/>
              <w:szCs w:val="12"/>
            </w:rPr>
            <w:t>©</w:t>
          </w:r>
          <w:r w:rsidRPr="00026B30">
            <w:rPr>
              <w:sz w:val="12"/>
              <w:szCs w:val="12"/>
            </w:rPr>
            <w:t xml:space="preserve"> Copyright 2019, MeritStocks. The information was obtained from sources which MeritStocks believes to be reliable, but we do not guarantee its accuracy. Neither the information, nor any opinion expressed, constitute solicitation of the purchase or sale of any securities or related instruments. MeritStocks is not responsible for any losses incurred from any use of this information.</w:t>
          </w:r>
        </w:p>
      </w:tc>
    </w:tr>
  </w:tbl>
  <w:p w14:paraId="7A089BF9" w14:textId="77777777" w:rsidR="00B03E72" w:rsidRDefault="00B03E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D72EC0" w14:textId="77777777" w:rsidR="002A2E01" w:rsidRDefault="002A2E01" w:rsidP="00546203">
      <w:pPr>
        <w:spacing w:after="0" w:line="240" w:lineRule="auto"/>
      </w:pPr>
      <w:r>
        <w:separator/>
      </w:r>
    </w:p>
  </w:footnote>
  <w:footnote w:type="continuationSeparator" w:id="0">
    <w:p w14:paraId="431626ED" w14:textId="77777777" w:rsidR="002A2E01" w:rsidRDefault="002A2E01" w:rsidP="005462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639" w:type="dxa"/>
      <w:tblBorders>
        <w:top w:val="none" w:sz="0" w:space="0" w:color="auto"/>
        <w:left w:val="none" w:sz="0" w:space="0" w:color="auto"/>
        <w:bottom w:val="single" w:sz="4" w:space="0" w:color="767171" w:themeColor="background2" w:themeShade="80"/>
        <w:right w:val="none" w:sz="0" w:space="0" w:color="auto"/>
        <w:insideH w:val="none" w:sz="0" w:space="0" w:color="auto"/>
        <w:insideV w:val="none" w:sz="0" w:space="0" w:color="auto"/>
      </w:tblBorders>
      <w:tblLayout w:type="fixed"/>
      <w:tblLook w:val="04A0" w:firstRow="1" w:lastRow="0" w:firstColumn="1" w:lastColumn="0" w:noHBand="0" w:noVBand="1"/>
    </w:tblPr>
    <w:tblGrid>
      <w:gridCol w:w="2781"/>
      <w:gridCol w:w="3816"/>
      <w:gridCol w:w="3042"/>
    </w:tblGrid>
    <w:tr w:rsidR="00B03E72" w:rsidRPr="005B52DE" w14:paraId="72AF78B2" w14:textId="77777777" w:rsidTr="00F944F9">
      <w:trPr>
        <w:trHeight w:val="897"/>
      </w:trPr>
      <w:sdt>
        <w:sdtPr>
          <w:id w:val="1956673905"/>
          <w:picture/>
        </w:sdtPr>
        <w:sdtContent>
          <w:tc>
            <w:tcPr>
              <w:tcW w:w="2781" w:type="dxa"/>
            </w:tcPr>
            <w:p w14:paraId="2CBFD1E2" w14:textId="78FE14C0" w:rsidR="00B03E72" w:rsidRDefault="00B03E72" w:rsidP="00DB5C5E">
              <w:pPr>
                <w:pStyle w:val="Header"/>
              </w:pPr>
              <w:r>
                <w:rPr>
                  <w:noProof/>
                </w:rPr>
                <w:drawing>
                  <wp:inline distT="0" distB="0" distL="0" distR="0" wp14:anchorId="7529D7FA" wp14:editId="651FA1E1">
                    <wp:extent cx="1760400" cy="5724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tretch>
                              <a:fillRect/>
                            </a:stretch>
                          </pic:blipFill>
                          <pic:spPr bwMode="auto">
                            <a:xfrm>
                              <a:off x="0" y="0"/>
                              <a:ext cx="1760400" cy="572400"/>
                            </a:xfrm>
                            <a:prstGeom prst="rect">
                              <a:avLst/>
                            </a:prstGeom>
                            <a:noFill/>
                            <a:ln>
                              <a:noFill/>
                            </a:ln>
                          </pic:spPr>
                        </pic:pic>
                      </a:graphicData>
                    </a:graphic>
                  </wp:inline>
                </w:drawing>
              </w:r>
            </w:p>
          </w:tc>
        </w:sdtContent>
      </w:sdt>
      <w:tc>
        <w:tcPr>
          <w:tcW w:w="3816" w:type="dxa"/>
        </w:tcPr>
        <w:p w14:paraId="55E39EDF" w14:textId="77777777" w:rsidR="00B03E72" w:rsidRDefault="00B03E72" w:rsidP="00546203"/>
        <w:p w14:paraId="1852ADB3" w14:textId="77777777" w:rsidR="00B03E72" w:rsidRPr="00FE02B4" w:rsidRDefault="00B03E72" w:rsidP="00546203">
          <w:pPr>
            <w:rPr>
              <w:b/>
              <w:sz w:val="52"/>
              <w:szCs w:val="52"/>
            </w:rPr>
          </w:pPr>
          <w:r w:rsidRPr="00FE02B4">
            <w:rPr>
              <w:b/>
              <w:sz w:val="52"/>
              <w:szCs w:val="52"/>
            </w:rPr>
            <w:t>Sector Snapshot</w:t>
          </w:r>
        </w:p>
      </w:tc>
      <w:tc>
        <w:tcPr>
          <w:tcW w:w="3042" w:type="dxa"/>
        </w:tcPr>
        <w:p w14:paraId="36DE79F4" w14:textId="77777777" w:rsidR="00B03E72" w:rsidRPr="00546203" w:rsidRDefault="00B03E72" w:rsidP="00546203">
          <w:pPr>
            <w:rPr>
              <w:b/>
              <w:sz w:val="24"/>
              <w:szCs w:val="24"/>
            </w:rPr>
          </w:pPr>
        </w:p>
        <w:p w14:paraId="0FF95BE3" w14:textId="77777777" w:rsidR="00B03E72" w:rsidRPr="00546203" w:rsidRDefault="00B03E72" w:rsidP="00546203">
          <w:pPr>
            <w:rPr>
              <w:b/>
              <w:sz w:val="24"/>
              <w:szCs w:val="24"/>
            </w:rPr>
          </w:pPr>
        </w:p>
        <w:p w14:paraId="6C46C990" w14:textId="08505550" w:rsidR="00B03E72" w:rsidRPr="00546203" w:rsidRDefault="00B03E72" w:rsidP="00546203">
          <w:pPr>
            <w:jc w:val="right"/>
            <w:rPr>
              <w:b/>
              <w:color w:val="000000" w:themeColor="text1"/>
              <w:sz w:val="28"/>
              <w:szCs w:val="28"/>
            </w:rPr>
          </w:pPr>
          <w:r w:rsidRPr="00546203">
            <w:rPr>
              <w:b/>
              <w:sz w:val="28"/>
              <w:szCs w:val="28"/>
            </w:rPr>
            <w:fldChar w:fldCharType="begin"/>
          </w:r>
          <w:r w:rsidRPr="00546203">
            <w:rPr>
              <w:b/>
              <w:sz w:val="28"/>
              <w:szCs w:val="28"/>
            </w:rPr>
            <w:instrText xml:space="preserve"> DATE \@ "MMMM d, yyyy" </w:instrText>
          </w:r>
          <w:r w:rsidRPr="00546203">
            <w:rPr>
              <w:b/>
              <w:sz w:val="28"/>
              <w:szCs w:val="28"/>
            </w:rPr>
            <w:fldChar w:fldCharType="separate"/>
          </w:r>
          <w:r>
            <w:rPr>
              <w:b/>
              <w:noProof/>
              <w:sz w:val="28"/>
              <w:szCs w:val="28"/>
            </w:rPr>
            <w:t>April 16, 2019</w:t>
          </w:r>
          <w:r w:rsidRPr="00546203">
            <w:rPr>
              <w:b/>
              <w:sz w:val="28"/>
              <w:szCs w:val="28"/>
              <w:lang w:val="en-US"/>
            </w:rPr>
            <w:fldChar w:fldCharType="end"/>
          </w:r>
        </w:p>
      </w:tc>
    </w:tr>
  </w:tbl>
  <w:p w14:paraId="204D71C0" w14:textId="561183E7" w:rsidR="00B03E72" w:rsidRDefault="00B03E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13750" w:type="dxa"/>
      <w:tblBorders>
        <w:top w:val="none" w:sz="0" w:space="0" w:color="auto"/>
        <w:left w:val="none" w:sz="0" w:space="0" w:color="auto"/>
        <w:bottom w:val="single" w:sz="4" w:space="0" w:color="767171" w:themeColor="background2" w:themeShade="80"/>
        <w:right w:val="none" w:sz="0" w:space="0" w:color="auto"/>
        <w:insideH w:val="none" w:sz="0" w:space="0" w:color="auto"/>
        <w:insideV w:val="none" w:sz="0" w:space="0" w:color="auto"/>
      </w:tblBorders>
      <w:tblLayout w:type="fixed"/>
      <w:tblLook w:val="04A0" w:firstRow="1" w:lastRow="0" w:firstColumn="1" w:lastColumn="0" w:noHBand="0" w:noVBand="1"/>
    </w:tblPr>
    <w:tblGrid>
      <w:gridCol w:w="2849"/>
      <w:gridCol w:w="3906"/>
      <w:gridCol w:w="6995"/>
    </w:tblGrid>
    <w:tr w:rsidR="00B03E72" w:rsidRPr="005B52DE" w14:paraId="765E7213" w14:textId="77777777" w:rsidTr="006820E0">
      <w:trPr>
        <w:trHeight w:val="856"/>
      </w:trPr>
      <w:sdt>
        <w:sdtPr>
          <w:id w:val="-2109954222"/>
          <w:picture/>
        </w:sdtPr>
        <w:sdtContent>
          <w:tc>
            <w:tcPr>
              <w:tcW w:w="2849" w:type="dxa"/>
            </w:tcPr>
            <w:p w14:paraId="7C069CC0" w14:textId="77777777" w:rsidR="00B03E72" w:rsidRDefault="00B03E72" w:rsidP="00DB5C5E">
              <w:pPr>
                <w:pStyle w:val="Header"/>
              </w:pPr>
              <w:r>
                <w:rPr>
                  <w:noProof/>
                </w:rPr>
                <w:drawing>
                  <wp:inline distT="0" distB="0" distL="0" distR="0" wp14:anchorId="01A23CD6" wp14:editId="480492F1">
                    <wp:extent cx="1760289" cy="572494"/>
                    <wp:effectExtent l="0" t="0" r="635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tretch>
                              <a:fillRect/>
                            </a:stretch>
                          </pic:blipFill>
                          <pic:spPr bwMode="auto">
                            <a:xfrm>
                              <a:off x="0" y="0"/>
                              <a:ext cx="1760289" cy="572494"/>
                            </a:xfrm>
                            <a:prstGeom prst="rect">
                              <a:avLst/>
                            </a:prstGeom>
                            <a:noFill/>
                            <a:ln>
                              <a:noFill/>
                            </a:ln>
                          </pic:spPr>
                        </pic:pic>
                      </a:graphicData>
                    </a:graphic>
                  </wp:inline>
                </w:drawing>
              </w:r>
            </w:p>
          </w:tc>
        </w:sdtContent>
      </w:sdt>
      <w:tc>
        <w:tcPr>
          <w:tcW w:w="3906" w:type="dxa"/>
        </w:tcPr>
        <w:p w14:paraId="24B87C38" w14:textId="77777777" w:rsidR="00B03E72" w:rsidRDefault="00B03E72" w:rsidP="00546203"/>
        <w:p w14:paraId="54823D98" w14:textId="77777777" w:rsidR="00B03E72" w:rsidRPr="00FE02B4" w:rsidRDefault="00B03E72" w:rsidP="00546203">
          <w:pPr>
            <w:rPr>
              <w:b/>
              <w:sz w:val="52"/>
              <w:szCs w:val="52"/>
            </w:rPr>
          </w:pPr>
          <w:r w:rsidRPr="00FE02B4">
            <w:rPr>
              <w:b/>
              <w:sz w:val="52"/>
              <w:szCs w:val="52"/>
            </w:rPr>
            <w:t>Sector Snapshot</w:t>
          </w:r>
        </w:p>
      </w:tc>
      <w:tc>
        <w:tcPr>
          <w:tcW w:w="6995" w:type="dxa"/>
        </w:tcPr>
        <w:p w14:paraId="2381D47A" w14:textId="77777777" w:rsidR="00B03E72" w:rsidRPr="00546203" w:rsidRDefault="00B03E72" w:rsidP="00546203">
          <w:pPr>
            <w:rPr>
              <w:b/>
              <w:sz w:val="24"/>
              <w:szCs w:val="24"/>
            </w:rPr>
          </w:pPr>
        </w:p>
        <w:p w14:paraId="46C10125" w14:textId="77777777" w:rsidR="00B03E72" w:rsidRPr="00546203" w:rsidRDefault="00B03E72" w:rsidP="00546203">
          <w:pPr>
            <w:rPr>
              <w:b/>
              <w:sz w:val="24"/>
              <w:szCs w:val="24"/>
            </w:rPr>
          </w:pPr>
        </w:p>
        <w:p w14:paraId="7555C473" w14:textId="6D747DC3" w:rsidR="00B03E72" w:rsidRPr="00546203" w:rsidRDefault="00B03E72" w:rsidP="00546203">
          <w:pPr>
            <w:jc w:val="right"/>
            <w:rPr>
              <w:b/>
              <w:color w:val="000000" w:themeColor="text1"/>
              <w:sz w:val="28"/>
              <w:szCs w:val="28"/>
            </w:rPr>
          </w:pPr>
          <w:r w:rsidRPr="00546203">
            <w:rPr>
              <w:b/>
              <w:sz w:val="28"/>
              <w:szCs w:val="28"/>
            </w:rPr>
            <w:fldChar w:fldCharType="begin"/>
          </w:r>
          <w:r w:rsidRPr="00546203">
            <w:rPr>
              <w:b/>
              <w:sz w:val="28"/>
              <w:szCs w:val="28"/>
            </w:rPr>
            <w:instrText xml:space="preserve"> DATE \@ "MMMM d, yyyy" </w:instrText>
          </w:r>
          <w:r w:rsidRPr="00546203">
            <w:rPr>
              <w:b/>
              <w:sz w:val="28"/>
              <w:szCs w:val="28"/>
            </w:rPr>
            <w:fldChar w:fldCharType="separate"/>
          </w:r>
          <w:r>
            <w:rPr>
              <w:b/>
              <w:noProof/>
              <w:sz w:val="28"/>
              <w:szCs w:val="28"/>
            </w:rPr>
            <w:t>April 16, 2019</w:t>
          </w:r>
          <w:r w:rsidRPr="00546203">
            <w:rPr>
              <w:b/>
              <w:sz w:val="28"/>
              <w:szCs w:val="28"/>
              <w:lang w:val="en-US"/>
            </w:rPr>
            <w:fldChar w:fldCharType="end"/>
          </w:r>
        </w:p>
      </w:tc>
    </w:tr>
  </w:tbl>
  <w:p w14:paraId="204B3E50" w14:textId="77777777" w:rsidR="00B03E72" w:rsidRDefault="00B03E72" w:rsidP="0054620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6203"/>
    <w:rsid w:val="00023A30"/>
    <w:rsid w:val="0006109C"/>
    <w:rsid w:val="00093D71"/>
    <w:rsid w:val="000A139F"/>
    <w:rsid w:val="000A36B8"/>
    <w:rsid w:val="000A7E75"/>
    <w:rsid w:val="000E6FDA"/>
    <w:rsid w:val="000E75B2"/>
    <w:rsid w:val="0012620C"/>
    <w:rsid w:val="00131F34"/>
    <w:rsid w:val="00187AF2"/>
    <w:rsid w:val="001C5FA7"/>
    <w:rsid w:val="001F5687"/>
    <w:rsid w:val="001F5D88"/>
    <w:rsid w:val="0022134B"/>
    <w:rsid w:val="00230B92"/>
    <w:rsid w:val="00234F90"/>
    <w:rsid w:val="00255E72"/>
    <w:rsid w:val="002727B3"/>
    <w:rsid w:val="002753EB"/>
    <w:rsid w:val="00276C90"/>
    <w:rsid w:val="00277838"/>
    <w:rsid w:val="002A2BB5"/>
    <w:rsid w:val="002A2E01"/>
    <w:rsid w:val="002D4EF2"/>
    <w:rsid w:val="002F1902"/>
    <w:rsid w:val="0036275C"/>
    <w:rsid w:val="00394635"/>
    <w:rsid w:val="004441F9"/>
    <w:rsid w:val="00450DD8"/>
    <w:rsid w:val="00456020"/>
    <w:rsid w:val="00460958"/>
    <w:rsid w:val="00471F44"/>
    <w:rsid w:val="00474031"/>
    <w:rsid w:val="004C0E81"/>
    <w:rsid w:val="004E6AE7"/>
    <w:rsid w:val="005271B3"/>
    <w:rsid w:val="00533BF1"/>
    <w:rsid w:val="00536BA1"/>
    <w:rsid w:val="00546203"/>
    <w:rsid w:val="00584D7D"/>
    <w:rsid w:val="00591543"/>
    <w:rsid w:val="005B7C11"/>
    <w:rsid w:val="005C2A42"/>
    <w:rsid w:val="005E6110"/>
    <w:rsid w:val="0060603C"/>
    <w:rsid w:val="00607B68"/>
    <w:rsid w:val="0062200E"/>
    <w:rsid w:val="006820E0"/>
    <w:rsid w:val="00683874"/>
    <w:rsid w:val="006A0983"/>
    <w:rsid w:val="006A578F"/>
    <w:rsid w:val="006C42E7"/>
    <w:rsid w:val="006F083B"/>
    <w:rsid w:val="00732E6F"/>
    <w:rsid w:val="00734938"/>
    <w:rsid w:val="00781B11"/>
    <w:rsid w:val="007A4E2A"/>
    <w:rsid w:val="007C44EE"/>
    <w:rsid w:val="007F04B5"/>
    <w:rsid w:val="007F6004"/>
    <w:rsid w:val="00823C85"/>
    <w:rsid w:val="00827DEB"/>
    <w:rsid w:val="0085081F"/>
    <w:rsid w:val="008A155F"/>
    <w:rsid w:val="008A17A8"/>
    <w:rsid w:val="008A50C5"/>
    <w:rsid w:val="008C570E"/>
    <w:rsid w:val="008F46E6"/>
    <w:rsid w:val="00911593"/>
    <w:rsid w:val="00934295"/>
    <w:rsid w:val="009352EE"/>
    <w:rsid w:val="009916A4"/>
    <w:rsid w:val="00994CE1"/>
    <w:rsid w:val="009C41F2"/>
    <w:rsid w:val="009C68CC"/>
    <w:rsid w:val="009D5F9F"/>
    <w:rsid w:val="009F0D2E"/>
    <w:rsid w:val="009F1E47"/>
    <w:rsid w:val="009F458A"/>
    <w:rsid w:val="00A00B3E"/>
    <w:rsid w:val="00A13509"/>
    <w:rsid w:val="00A13CCB"/>
    <w:rsid w:val="00A22EF7"/>
    <w:rsid w:val="00A419CB"/>
    <w:rsid w:val="00A47769"/>
    <w:rsid w:val="00A62187"/>
    <w:rsid w:val="00A6632A"/>
    <w:rsid w:val="00A75156"/>
    <w:rsid w:val="00AA266E"/>
    <w:rsid w:val="00AA632C"/>
    <w:rsid w:val="00AC7000"/>
    <w:rsid w:val="00AD485D"/>
    <w:rsid w:val="00B01979"/>
    <w:rsid w:val="00B03E72"/>
    <w:rsid w:val="00B10C4D"/>
    <w:rsid w:val="00B177B1"/>
    <w:rsid w:val="00B3064C"/>
    <w:rsid w:val="00B36484"/>
    <w:rsid w:val="00B37DF3"/>
    <w:rsid w:val="00B677A8"/>
    <w:rsid w:val="00BA203A"/>
    <w:rsid w:val="00BB3C58"/>
    <w:rsid w:val="00BD623A"/>
    <w:rsid w:val="00BE1839"/>
    <w:rsid w:val="00BE73B6"/>
    <w:rsid w:val="00C334A8"/>
    <w:rsid w:val="00C3739F"/>
    <w:rsid w:val="00C5654D"/>
    <w:rsid w:val="00C701C3"/>
    <w:rsid w:val="00C8725A"/>
    <w:rsid w:val="00CA12F5"/>
    <w:rsid w:val="00CA4F5F"/>
    <w:rsid w:val="00D1223E"/>
    <w:rsid w:val="00D606D7"/>
    <w:rsid w:val="00D608D7"/>
    <w:rsid w:val="00D623F4"/>
    <w:rsid w:val="00D756D7"/>
    <w:rsid w:val="00DB2C4F"/>
    <w:rsid w:val="00DB5C5E"/>
    <w:rsid w:val="00DE0DC6"/>
    <w:rsid w:val="00DF446E"/>
    <w:rsid w:val="00E3021D"/>
    <w:rsid w:val="00E31DD3"/>
    <w:rsid w:val="00E444D7"/>
    <w:rsid w:val="00E45E2E"/>
    <w:rsid w:val="00E746D3"/>
    <w:rsid w:val="00E76FEA"/>
    <w:rsid w:val="00ED75E9"/>
    <w:rsid w:val="00EF4AE2"/>
    <w:rsid w:val="00EF606B"/>
    <w:rsid w:val="00F31662"/>
    <w:rsid w:val="00F416FF"/>
    <w:rsid w:val="00F51732"/>
    <w:rsid w:val="00F67848"/>
    <w:rsid w:val="00F944F9"/>
    <w:rsid w:val="00FA390B"/>
    <w:rsid w:val="00FD371A"/>
    <w:rsid w:val="00FE02B4"/>
    <w:rsid w:val="00FE6BDF"/>
    <w:rsid w:val="00FE7470"/>
    <w:rsid w:val="00FF506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DF776D"/>
  <w15:chartTrackingRefBased/>
  <w15:docId w15:val="{E1487D0C-5F40-4E33-8EED-6863EE87C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6203"/>
    <w:rPr>
      <w:rFonts w:eastAsiaTheme="minorEastAsia"/>
    </w:rPr>
  </w:style>
  <w:style w:type="paragraph" w:styleId="Heading1">
    <w:name w:val="heading 1"/>
    <w:basedOn w:val="Normal"/>
    <w:next w:val="Normal"/>
    <w:link w:val="Heading1Char"/>
    <w:uiPriority w:val="9"/>
    <w:qFormat/>
    <w:rsid w:val="00546203"/>
    <w:pPr>
      <w:keepNext/>
      <w:keepLines/>
      <w:spacing w:before="240" w:after="0"/>
      <w:outlineLvl w:val="0"/>
    </w:pPr>
    <w:rPr>
      <w:rFonts w:asciiTheme="majorHAnsi" w:eastAsiaTheme="majorEastAsia" w:hAnsiTheme="majorHAnsi" w:cstheme="majorBidi"/>
      <w:color w:val="262626" w:themeColor="text1" w:themeTint="D9"/>
      <w:sz w:val="32"/>
      <w:szCs w:val="32"/>
    </w:rPr>
  </w:style>
  <w:style w:type="paragraph" w:styleId="Heading2">
    <w:name w:val="heading 2"/>
    <w:basedOn w:val="Normal"/>
    <w:next w:val="Normal"/>
    <w:link w:val="Heading2Char"/>
    <w:uiPriority w:val="9"/>
    <w:unhideWhenUsed/>
    <w:qFormat/>
    <w:rsid w:val="00C5654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9C68C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6203"/>
    <w:rPr>
      <w:rFonts w:asciiTheme="majorHAnsi" w:eastAsiaTheme="majorEastAsia" w:hAnsiTheme="majorHAnsi" w:cstheme="majorBidi"/>
      <w:color w:val="262626" w:themeColor="text1" w:themeTint="D9"/>
      <w:sz w:val="32"/>
      <w:szCs w:val="32"/>
    </w:rPr>
  </w:style>
  <w:style w:type="paragraph" w:styleId="Header">
    <w:name w:val="header"/>
    <w:basedOn w:val="Normal"/>
    <w:link w:val="HeaderChar"/>
    <w:uiPriority w:val="99"/>
    <w:unhideWhenUsed/>
    <w:rsid w:val="00546203"/>
    <w:pPr>
      <w:tabs>
        <w:tab w:val="center" w:pos="4513"/>
        <w:tab w:val="right" w:pos="9026"/>
      </w:tabs>
      <w:spacing w:after="0" w:line="240" w:lineRule="auto"/>
    </w:pPr>
  </w:style>
  <w:style w:type="character" w:customStyle="1" w:styleId="HeaderChar">
    <w:name w:val="Header Char"/>
    <w:basedOn w:val="DefaultParagraphFont"/>
    <w:link w:val="Header"/>
    <w:uiPriority w:val="99"/>
    <w:rsid w:val="00546203"/>
    <w:rPr>
      <w:rFonts w:eastAsiaTheme="minorEastAsia"/>
    </w:rPr>
  </w:style>
  <w:style w:type="paragraph" w:styleId="Footer">
    <w:name w:val="footer"/>
    <w:basedOn w:val="Normal"/>
    <w:link w:val="FooterChar"/>
    <w:uiPriority w:val="99"/>
    <w:unhideWhenUsed/>
    <w:rsid w:val="005462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546203"/>
    <w:rPr>
      <w:rFonts w:eastAsiaTheme="minorEastAsia"/>
    </w:rPr>
  </w:style>
  <w:style w:type="table" w:styleId="TableGrid">
    <w:name w:val="Table Grid"/>
    <w:basedOn w:val="TableNormal"/>
    <w:uiPriority w:val="39"/>
    <w:rsid w:val="00546203"/>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46203"/>
    <w:rPr>
      <w:color w:val="0563C1" w:themeColor="hyperlink"/>
      <w:u w:val="single"/>
    </w:rPr>
  </w:style>
  <w:style w:type="character" w:customStyle="1" w:styleId="Heading2Char">
    <w:name w:val="Heading 2 Char"/>
    <w:basedOn w:val="DefaultParagraphFont"/>
    <w:link w:val="Heading2"/>
    <w:uiPriority w:val="9"/>
    <w:rsid w:val="00C5654D"/>
    <w:rPr>
      <w:rFonts w:asciiTheme="majorHAnsi" w:eastAsiaTheme="majorEastAsia" w:hAnsiTheme="majorHAnsi" w:cstheme="majorBidi"/>
      <w:color w:val="2F5496" w:themeColor="accent1" w:themeShade="BF"/>
      <w:sz w:val="26"/>
      <w:szCs w:val="26"/>
    </w:rPr>
  </w:style>
  <w:style w:type="paragraph" w:styleId="Caption">
    <w:name w:val="caption"/>
    <w:basedOn w:val="Normal"/>
    <w:next w:val="Normal"/>
    <w:uiPriority w:val="35"/>
    <w:unhideWhenUsed/>
    <w:qFormat/>
    <w:rsid w:val="00584D7D"/>
    <w:pPr>
      <w:spacing w:after="200" w:line="240" w:lineRule="auto"/>
    </w:pPr>
    <w:rPr>
      <w:i/>
      <w:iCs/>
      <w:color w:val="44546A" w:themeColor="text2"/>
      <w:sz w:val="18"/>
      <w:szCs w:val="18"/>
    </w:rPr>
  </w:style>
  <w:style w:type="paragraph" w:styleId="NormalWeb">
    <w:name w:val="Normal (Web)"/>
    <w:basedOn w:val="Normal"/>
    <w:uiPriority w:val="99"/>
    <w:semiHidden/>
    <w:unhideWhenUsed/>
    <w:rsid w:val="00584D7D"/>
    <w:pPr>
      <w:spacing w:before="100" w:beforeAutospacing="1" w:after="100" w:afterAutospacing="1" w:line="240" w:lineRule="auto"/>
    </w:pPr>
    <w:rPr>
      <w:rFonts w:ascii="Times New Roman" w:hAnsi="Times New Roman" w:cs="Times New Roman"/>
      <w:sz w:val="24"/>
      <w:szCs w:val="24"/>
      <w:lang w:eastAsia="en-ZA"/>
    </w:rPr>
  </w:style>
  <w:style w:type="character" w:customStyle="1" w:styleId="Heading3Char">
    <w:name w:val="Heading 3 Char"/>
    <w:basedOn w:val="DefaultParagraphFont"/>
    <w:link w:val="Heading3"/>
    <w:uiPriority w:val="9"/>
    <w:rsid w:val="009C68CC"/>
    <w:rPr>
      <w:rFonts w:asciiTheme="majorHAnsi" w:eastAsiaTheme="majorEastAsia" w:hAnsiTheme="majorHAnsi" w:cstheme="majorBidi"/>
      <w:color w:val="1F3763" w:themeColor="accent1" w:themeShade="7F"/>
      <w:sz w:val="24"/>
      <w:szCs w:val="24"/>
    </w:rPr>
  </w:style>
  <w:style w:type="paragraph" w:styleId="BalloonText">
    <w:name w:val="Balloon Text"/>
    <w:basedOn w:val="Normal"/>
    <w:link w:val="BalloonTextChar"/>
    <w:uiPriority w:val="99"/>
    <w:semiHidden/>
    <w:unhideWhenUsed/>
    <w:rsid w:val="00BE183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1839"/>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8465280">
      <w:bodyDiv w:val="1"/>
      <w:marLeft w:val="0"/>
      <w:marRight w:val="0"/>
      <w:marTop w:val="0"/>
      <w:marBottom w:val="0"/>
      <w:divBdr>
        <w:top w:val="none" w:sz="0" w:space="0" w:color="auto"/>
        <w:left w:val="none" w:sz="0" w:space="0" w:color="auto"/>
        <w:bottom w:val="none" w:sz="0" w:space="0" w:color="auto"/>
        <w:right w:val="none" w:sz="0" w:space="0" w:color="auto"/>
      </w:divBdr>
    </w:div>
    <w:div w:id="666253327">
      <w:bodyDiv w:val="1"/>
      <w:marLeft w:val="0"/>
      <w:marRight w:val="0"/>
      <w:marTop w:val="0"/>
      <w:marBottom w:val="0"/>
      <w:divBdr>
        <w:top w:val="none" w:sz="0" w:space="0" w:color="auto"/>
        <w:left w:val="none" w:sz="0" w:space="0" w:color="auto"/>
        <w:bottom w:val="none" w:sz="0" w:space="0" w:color="auto"/>
        <w:right w:val="none" w:sz="0" w:space="0" w:color="auto"/>
      </w:divBdr>
    </w:div>
    <w:div w:id="826900024">
      <w:bodyDiv w:val="1"/>
      <w:marLeft w:val="0"/>
      <w:marRight w:val="0"/>
      <w:marTop w:val="0"/>
      <w:marBottom w:val="0"/>
      <w:divBdr>
        <w:top w:val="none" w:sz="0" w:space="0" w:color="auto"/>
        <w:left w:val="none" w:sz="0" w:space="0" w:color="auto"/>
        <w:bottom w:val="none" w:sz="0" w:space="0" w:color="auto"/>
        <w:right w:val="none" w:sz="0" w:space="0" w:color="auto"/>
      </w:divBdr>
    </w:div>
    <w:div w:id="909584985">
      <w:bodyDiv w:val="1"/>
      <w:marLeft w:val="0"/>
      <w:marRight w:val="0"/>
      <w:marTop w:val="0"/>
      <w:marBottom w:val="0"/>
      <w:divBdr>
        <w:top w:val="none" w:sz="0" w:space="0" w:color="auto"/>
        <w:left w:val="none" w:sz="0" w:space="0" w:color="auto"/>
        <w:bottom w:val="none" w:sz="0" w:space="0" w:color="auto"/>
        <w:right w:val="none" w:sz="0" w:space="0" w:color="auto"/>
      </w:divBdr>
    </w:div>
    <w:div w:id="1843274654">
      <w:bodyDiv w:val="1"/>
      <w:marLeft w:val="0"/>
      <w:marRight w:val="0"/>
      <w:marTop w:val="0"/>
      <w:marBottom w:val="0"/>
      <w:divBdr>
        <w:top w:val="none" w:sz="0" w:space="0" w:color="auto"/>
        <w:left w:val="none" w:sz="0" w:space="0" w:color="auto"/>
        <w:bottom w:val="none" w:sz="0" w:space="0" w:color="auto"/>
        <w:right w:val="none" w:sz="0" w:space="0" w:color="auto"/>
      </w:divBdr>
    </w:div>
    <w:div w:id="1925338982">
      <w:bodyDiv w:val="1"/>
      <w:marLeft w:val="0"/>
      <w:marRight w:val="0"/>
      <w:marTop w:val="0"/>
      <w:marBottom w:val="0"/>
      <w:divBdr>
        <w:top w:val="none" w:sz="0" w:space="0" w:color="auto"/>
        <w:left w:val="none" w:sz="0" w:space="0" w:color="auto"/>
        <w:bottom w:val="none" w:sz="0" w:space="0" w:color="auto"/>
        <w:right w:val="none" w:sz="0" w:space="0" w:color="auto"/>
      </w:divBdr>
    </w:div>
    <w:div w:id="1959990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header" Target="header1.xml"/><Relationship Id="rId18" Type="http://schemas.openxmlformats.org/officeDocument/2006/relationships/image" Target="media/image11.emf"/><Relationship Id="rId26" Type="http://schemas.openxmlformats.org/officeDocument/2006/relationships/image" Target="media/image19.emf"/><Relationship Id="rId3" Type="http://schemas.openxmlformats.org/officeDocument/2006/relationships/webSettings" Target="webSettings.xml"/><Relationship Id="rId21" Type="http://schemas.openxmlformats.org/officeDocument/2006/relationships/image" Target="media/image14.emf"/><Relationship Id="rId34" Type="http://schemas.openxmlformats.org/officeDocument/2006/relationships/theme" Target="theme/theme1.xml"/><Relationship Id="rId7" Type="http://schemas.openxmlformats.org/officeDocument/2006/relationships/image" Target="media/image2.emf"/><Relationship Id="rId12" Type="http://schemas.openxmlformats.org/officeDocument/2006/relationships/image" Target="media/image7.emf"/><Relationship Id="rId17" Type="http://schemas.openxmlformats.org/officeDocument/2006/relationships/image" Target="media/image10.emf"/><Relationship Id="rId25" Type="http://schemas.openxmlformats.org/officeDocument/2006/relationships/image" Target="media/image18.emf"/><Relationship Id="rId33"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9.emf"/><Relationship Id="rId20" Type="http://schemas.openxmlformats.org/officeDocument/2006/relationships/image" Target="media/image13.emf"/><Relationship Id="rId29" Type="http://schemas.openxmlformats.org/officeDocument/2006/relationships/image" Target="media/image22.emf"/><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image" Target="media/image6.emf"/><Relationship Id="rId24" Type="http://schemas.openxmlformats.org/officeDocument/2006/relationships/image" Target="media/image17.emf"/><Relationship Id="rId32"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footer" Target="footer2.xml"/><Relationship Id="rId23" Type="http://schemas.openxmlformats.org/officeDocument/2006/relationships/image" Target="media/image16.emf"/><Relationship Id="rId28" Type="http://schemas.openxmlformats.org/officeDocument/2006/relationships/image" Target="media/image21.emf"/><Relationship Id="rId10" Type="http://schemas.openxmlformats.org/officeDocument/2006/relationships/image" Target="media/image5.emf"/><Relationship Id="rId19" Type="http://schemas.openxmlformats.org/officeDocument/2006/relationships/image" Target="media/image12.emf"/><Relationship Id="rId31"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image" Target="media/image4.emf"/><Relationship Id="rId14" Type="http://schemas.openxmlformats.org/officeDocument/2006/relationships/footer" Target="footer1.xml"/><Relationship Id="rId22" Type="http://schemas.openxmlformats.org/officeDocument/2006/relationships/image" Target="media/image15.emf"/><Relationship Id="rId27" Type="http://schemas.openxmlformats.org/officeDocument/2006/relationships/image" Target="media/image20.emf"/><Relationship Id="rId30" Type="http://schemas.openxmlformats.org/officeDocument/2006/relationships/image" Target="media/image23.emf"/></Relationships>
</file>

<file path=word/_rels/footer1.xml.rels><?xml version="1.0" encoding="UTF-8" standalone="yes"?>
<Relationships xmlns="http://schemas.openxmlformats.org/package/2006/relationships"><Relationship Id="rId1" Type="http://schemas.openxmlformats.org/officeDocument/2006/relationships/hyperlink" Target="mailto:andre@meritstocks.co.za"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andre@meritstocks.co.za"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mailto:andre@meritstocks.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133</TotalTime>
  <Pages>15</Pages>
  <Words>2068</Words>
  <Characters>11789</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Andrzej Szczesniak</dc:creator>
  <cp:keywords/>
  <dc:description/>
  <cp:lastModifiedBy>Andrzej Szczesniak</cp:lastModifiedBy>
  <cp:revision>32</cp:revision>
  <cp:lastPrinted>2019-02-28T10:38:00Z</cp:lastPrinted>
  <dcterms:created xsi:type="dcterms:W3CDTF">2019-04-16T22:09:00Z</dcterms:created>
  <dcterms:modified xsi:type="dcterms:W3CDTF">2019-04-17T00:21:00Z</dcterms:modified>
</cp:coreProperties>
</file>